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141AB2" w14:textId="56F698BA" w:rsidR="008C41B8" w:rsidRPr="003F2783" w:rsidRDefault="00E31F5E" w:rsidP="008C41B8">
      <w:pPr>
        <w:pStyle w:val="TITULO"/>
        <w:rPr>
          <w:b/>
          <w:bCs/>
          <w:noProof/>
        </w:rPr>
      </w:pPr>
      <w:r>
        <w:rPr>
          <w:b/>
          <w:noProof/>
        </w:rPr>
        <mc:AlternateContent>
          <mc:Choice Requires="wps">
            <w:drawing>
              <wp:anchor distT="0" distB="0" distL="114300" distR="114300" simplePos="0" relativeHeight="251659264" behindDoc="0" locked="0" layoutInCell="1" allowOverlap="1" wp14:anchorId="5D8937A0" wp14:editId="4F798902">
                <wp:simplePos x="0" y="0"/>
                <wp:positionH relativeFrom="column">
                  <wp:posOffset>-13335</wp:posOffset>
                </wp:positionH>
                <wp:positionV relativeFrom="paragraph">
                  <wp:posOffset>1250950</wp:posOffset>
                </wp:positionV>
                <wp:extent cx="5075555" cy="0"/>
                <wp:effectExtent l="0" t="0" r="17145" b="12700"/>
                <wp:wrapNone/>
                <wp:docPr id="6" name="Conector reto 6"/>
                <wp:cNvGraphicFramePr/>
                <a:graphic xmlns:a="http://schemas.openxmlformats.org/drawingml/2006/main">
                  <a:graphicData uri="http://schemas.microsoft.com/office/word/2010/wordprocessingShape">
                    <wps:wsp>
                      <wps:cNvCnPr/>
                      <wps:spPr>
                        <a:xfrm>
                          <a:off x="0" y="0"/>
                          <a:ext cx="507555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F828214" id="Conector reto 6"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5pt,98.5pt" to="398.6pt,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" strokecolor="black [3200]" strokeweight=".5pt">
                <v:stroke joinstyle="miter"/>
              </v:line>
            </w:pict>
          </mc:Fallback>
        </mc:AlternateContent>
      </w:r>
      <w:r>
        <w:rPr>
          <w:b/>
          <w:noProof/>
        </w:rPr>
        <mc:AlternateContent>
          <mc:Choice Requires="wps">
            <w:drawing>
              <wp:anchor distT="45720" distB="45720" distL="114300" distR="114300" simplePos="0" relativeHeight="251657216" behindDoc="0" locked="0" layoutInCell="1" allowOverlap="1" wp14:anchorId="31A3FEDB" wp14:editId="23531D0F">
                <wp:simplePos x="0" y="0"/>
                <wp:positionH relativeFrom="column">
                  <wp:posOffset>-129540</wp:posOffset>
                </wp:positionH>
                <wp:positionV relativeFrom="paragraph">
                  <wp:posOffset>-300355</wp:posOffset>
                </wp:positionV>
                <wp:extent cx="5255895" cy="687705"/>
                <wp:effectExtent l="3810" t="4445" r="0" b="3175"/>
                <wp:wrapSquare wrapText="bothSides"/>
                <wp:docPr id="4"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5895" cy="6877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6D7F953" w14:textId="00AA2D84" w:rsidR="00543704" w:rsidRPr="00680202" w:rsidRDefault="00543704" w:rsidP="008370E7">
                            <w:pPr>
                              <w:tabs>
                                <w:tab w:val="right" w:pos="7938"/>
                              </w:tabs>
                              <w:jc w:val="center"/>
                              <w:rPr>
                                <w:rFonts w:ascii="Tahoma" w:hAnsi="Tahoma" w:cs="Tahoma"/>
                                <w:color w:val="C00000"/>
                                <w:sz w:val="14"/>
                                <w:szCs w:val="14"/>
                              </w:rPr>
                            </w:pPr>
                            <w:r>
                              <w:rPr>
                                <w:rFonts w:ascii="Tahoma" w:hAnsi="Tahoma"/>
                                <w:noProof/>
                                <w:color w:val="C00000"/>
                                <w:sz w:val="14"/>
                              </w:rPr>
                              <w:drawing>
                                <wp:inline distT="0" distB="0" distL="0" distR="0" wp14:anchorId="5F17C3A9" wp14:editId="54DE3D5E">
                                  <wp:extent cx="1047750" cy="485775"/>
                                  <wp:effectExtent l="0" t="0" r="0" b="0"/>
                                  <wp:docPr id="59050255" name="Imagem 590502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47750" cy="485775"/>
                                          </a:xfrm>
                                          <a:prstGeom prst="rect">
                                            <a:avLst/>
                                          </a:prstGeom>
                                          <a:noFill/>
                                          <a:ln>
                                            <a:noFill/>
                                          </a:ln>
                                        </pic:spPr>
                                      </pic:pic>
                                    </a:graphicData>
                                  </a:graphic>
                                </wp:inline>
                              </w:drawing>
                            </w:r>
                            <w:r>
                              <w:rPr>
                                <w:rFonts w:ascii="Tahoma" w:hAnsi="Tahoma"/>
                                <w:color w:val="C00000"/>
                                <w:sz w:val="14"/>
                              </w:rPr>
                              <w:tab/>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31A3FEDB" id="_x0000_t202" coordsize="21600,21600" o:spt="202" path="m,l,21600r21600,l21600,xe">
                <v:stroke joinstyle="miter"/>
                <v:path gradientshapeok="t" o:connecttype="rect"/>
              </v:shapetype>
              <v:shape id="Caixa de Texto 2" o:spid="_x0000_s1026" type="#_x0000_t202" style="position:absolute;margin-left:-10.2pt;margin-top:-23.65pt;width:413.85pt;height:54.15pt;z-index:2516572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" stroked="f">
                <v:textbox style="mso-fit-shape-to-text:t">
                  <w:txbxContent>
                    <w:p w14:paraId="36D7F953" w14:textId="00AA2D84" w:rsidR="00543704" w:rsidRPr="00680202" w:rsidRDefault="00543704" w:rsidP="008370E7">
                      <w:pPr>
                        <w:tabs>
                          <w:tab w:val="right" w:pos="7938"/>
                        </w:tabs>
                        <w:jc w:val="center"/>
                        <w:rPr>
                          <w:rFonts w:ascii="Tahoma" w:hAnsi="Tahoma" w:cs="Tahoma"/>
                          <w:color w:val="C00000"/>
                          <w:sz w:val="14"/>
                          <w:szCs w:val="14"/>
                        </w:rPr>
                      </w:pPr>
                      <w:r>
                        <w:rPr>
                          <w:rFonts w:ascii="Tahoma" w:hAnsi="Tahoma"/>
                          <w:noProof/>
                          <w:color w:val="C00000"/>
                          <w:sz w:val="14"/>
                        </w:rPr>
                        <w:drawing>
                          <wp:inline distT="0" distB="0" distL="0" distR="0" wp14:anchorId="5F17C3A9" wp14:editId="54DE3D5E">
                            <wp:extent cx="1047750" cy="485775"/>
                            <wp:effectExtent l="0" t="0" r="0" b="0"/>
                            <wp:docPr id="59050255" name="Imagem 590502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47750" cy="485775"/>
                                    </a:xfrm>
                                    <a:prstGeom prst="rect">
                                      <a:avLst/>
                                    </a:prstGeom>
                                    <a:noFill/>
                                    <a:ln>
                                      <a:noFill/>
                                    </a:ln>
                                  </pic:spPr>
                                </pic:pic>
                              </a:graphicData>
                            </a:graphic>
                          </wp:inline>
                        </w:drawing>
                      </w:r>
                      <w:r>
                        <w:rPr>
                          <w:rFonts w:ascii="Tahoma" w:hAnsi="Tahoma"/>
                          <w:color w:val="C00000"/>
                          <w:sz w:val="14"/>
                        </w:rPr>
                        <w:tab/>
                      </w:r>
                    </w:p>
                  </w:txbxContent>
                </v:textbox>
                <w10:wrap type="square"/>
              </v:shape>
            </w:pict>
          </mc:Fallback>
        </mc:AlternateContent>
      </w:r>
      <w:r>
        <w:rPr>
          <w:b/>
        </w:rPr>
        <w:t xml:space="preserve">The importance of the electricity sector: a national and inter-regional input-output analysis  </w:t>
      </w:r>
    </w:p>
    <w:p w14:paraId="28F29469" w14:textId="156B7866" w:rsidR="00C450EE" w:rsidRPr="00786FE2" w:rsidRDefault="00C450EE" w:rsidP="00C450EE">
      <w:pPr>
        <w:pStyle w:val="CORPO"/>
        <w:tabs>
          <w:tab w:val="left" w:pos="6735"/>
        </w:tabs>
        <w:ind w:firstLine="0"/>
        <w:rPr>
          <w:rFonts w:ascii="Tahoma" w:hAnsi="Tahoma" w:cs="Tahoma"/>
          <w:spacing w:val="2"/>
          <w:sz w:val="20"/>
          <w:szCs w:val="20"/>
          <w:lang w:val="pt-BR"/>
        </w:rPr>
      </w:pPr>
      <w:r w:rsidRPr="00786FE2">
        <w:rPr>
          <w:rFonts w:ascii="Tahoma" w:hAnsi="Tahoma"/>
          <w:b/>
          <w:noProof/>
          <w:sz w:val="20"/>
          <w:lang w:val="pt-BR"/>
        </w:rPr>
        <mc:AlternateContent>
          <mc:Choice Requires="wps">
            <w:drawing>
              <wp:anchor distT="0" distB="0" distL="114300" distR="114300" simplePos="0" relativeHeight="251662336" behindDoc="0" locked="0" layoutInCell="1" allowOverlap="1" wp14:anchorId="7D3439E9" wp14:editId="25C59F57">
                <wp:simplePos x="0" y="0"/>
                <wp:positionH relativeFrom="column">
                  <wp:posOffset>-5673725</wp:posOffset>
                </wp:positionH>
                <wp:positionV relativeFrom="paragraph">
                  <wp:posOffset>384810</wp:posOffset>
                </wp:positionV>
                <wp:extent cx="4788000" cy="0"/>
                <wp:effectExtent l="0" t="0" r="12700" b="12700"/>
                <wp:wrapNone/>
                <wp:docPr id="1872718400" name="Conector Reto 1872718400"/>
                <wp:cNvGraphicFramePr/>
                <a:graphic xmlns:a="http://schemas.openxmlformats.org/drawingml/2006/main">
                  <a:graphicData uri="http://schemas.microsoft.com/office/word/2010/wordprocessingShape">
                    <wps:wsp>
                      <wps:cNvCnPr/>
                      <wps:spPr>
                        <a:xfrm>
                          <a:off x="0" y="0"/>
                          <a:ext cx="4788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BBB4532" id="Conector Reto 1872718400"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46.75pt,30.3pt" to="-69.75pt,3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" strokecolor="black [3200]" strokeweight=".5pt">
                <v:stroke joinstyle="miter"/>
              </v:line>
            </w:pict>
          </mc:Fallback>
        </mc:AlternateContent>
      </w:r>
      <w:r w:rsidRPr="00786FE2">
        <w:rPr>
          <w:rFonts w:ascii="Tahoma" w:hAnsi="Tahoma"/>
          <w:sz w:val="20"/>
          <w:lang w:val="pt-BR"/>
        </w:rPr>
        <w:t>A importância do setor de eletricidade: uma análise nacional e inter-regional de insumo-produto</w:t>
      </w:r>
    </w:p>
    <w:p w14:paraId="1A035461" w14:textId="77777777" w:rsidR="008C41B8" w:rsidRPr="00522DCF" w:rsidRDefault="003B63D2" w:rsidP="003B63D2">
      <w:pPr>
        <w:pStyle w:val="CORPO"/>
        <w:tabs>
          <w:tab w:val="left" w:pos="6735"/>
        </w:tabs>
        <w:rPr>
          <w:rFonts w:ascii="Garamond" w:hAnsi="Garamond" w:cs="Garamond"/>
          <w:lang w:val="pt-BR"/>
        </w:rPr>
      </w:pPr>
      <w:r w:rsidRPr="00522DCF">
        <w:rPr>
          <w:rFonts w:ascii="Garamond" w:hAnsi="Garamond"/>
          <w:lang w:val="pt-BR"/>
        </w:rPr>
        <w:tab/>
      </w:r>
    </w:p>
    <w:p w14:paraId="3B5B2518" w14:textId="0FD63A52" w:rsidR="00486637" w:rsidRPr="00522DCF" w:rsidRDefault="00313750" w:rsidP="00E64FBF">
      <w:pPr>
        <w:autoSpaceDE w:val="0"/>
        <w:autoSpaceDN w:val="0"/>
        <w:adjustRightInd w:val="0"/>
        <w:spacing w:after="60" w:line="240" w:lineRule="auto"/>
        <w:jc w:val="right"/>
        <w:rPr>
          <w:rFonts w:ascii="Tahoma" w:hAnsi="Tahoma" w:cs="Tahoma"/>
          <w:lang w:val="pt-BR"/>
        </w:rPr>
      </w:pPr>
      <w:bookmarkStart w:id="0" w:name="_Hlk37227471"/>
      <w:r w:rsidRPr="00522DCF">
        <w:rPr>
          <w:rFonts w:ascii="Tahoma" w:hAnsi="Tahoma"/>
          <w:lang w:val="pt-BR"/>
        </w:rPr>
        <w:t>Vinícius Ferreira</w:t>
      </w:r>
      <w:r w:rsidRPr="00522DCF">
        <w:rPr>
          <w:sz w:val="20"/>
          <w:lang w:val="pt-BR"/>
        </w:rPr>
        <w:t xml:space="preserve"> </w:t>
      </w:r>
      <w:r w:rsidRPr="00522DCF">
        <w:rPr>
          <w:rStyle w:val="Refdenotaderodap"/>
          <w:rFonts w:ascii="Tahoma" w:hAnsi="Tahoma" w:cs="Tahoma"/>
          <w:lang w:val="pt-BR"/>
        </w:rPr>
        <w:footnoteReference w:customMarkFollows="1" w:id="1"/>
        <w:t>a</w:t>
      </w:r>
    </w:p>
    <w:p w14:paraId="32AAD566" w14:textId="36CDC77B" w:rsidR="00486637" w:rsidRPr="00522DCF" w:rsidRDefault="00313750" w:rsidP="00E64FBF">
      <w:pPr>
        <w:tabs>
          <w:tab w:val="left" w:pos="6946"/>
          <w:tab w:val="right" w:pos="9972"/>
        </w:tabs>
        <w:autoSpaceDE w:val="0"/>
        <w:autoSpaceDN w:val="0"/>
        <w:adjustRightInd w:val="0"/>
        <w:spacing w:after="60" w:line="240" w:lineRule="auto"/>
        <w:jc w:val="right"/>
        <w:rPr>
          <w:rFonts w:ascii="Tahoma" w:hAnsi="Tahoma" w:cs="Tahoma"/>
          <w:bCs/>
          <w:lang w:val="pt-BR"/>
        </w:rPr>
      </w:pPr>
      <w:r w:rsidRPr="00522DCF">
        <w:rPr>
          <w:rFonts w:ascii="Tahoma" w:hAnsi="Tahoma"/>
          <w:lang w:val="pt-BR"/>
        </w:rPr>
        <w:t>Milene Takasago</w:t>
      </w:r>
      <w:r w:rsidRPr="00522DCF">
        <w:rPr>
          <w:sz w:val="20"/>
          <w:lang w:val="pt-BR"/>
        </w:rPr>
        <w:t xml:space="preserve"> </w:t>
      </w:r>
      <w:r w:rsidRPr="00522DCF">
        <w:rPr>
          <w:rStyle w:val="Refdenotaderodap"/>
          <w:rFonts w:ascii="Tahoma" w:hAnsi="Tahoma" w:cs="Tahoma"/>
          <w:bCs/>
          <w:lang w:val="pt-BR"/>
        </w:rPr>
        <w:footnoteReference w:customMarkFollows="1" w:id="2"/>
        <w:t>b</w:t>
      </w:r>
    </w:p>
    <w:p w14:paraId="02CB014D" w14:textId="6E48D98B" w:rsidR="00077404" w:rsidRPr="003F2783" w:rsidRDefault="006E493D" w:rsidP="00E64FBF">
      <w:pPr>
        <w:tabs>
          <w:tab w:val="left" w:pos="6946"/>
          <w:tab w:val="right" w:pos="9972"/>
        </w:tabs>
        <w:autoSpaceDE w:val="0"/>
        <w:autoSpaceDN w:val="0"/>
        <w:adjustRightInd w:val="0"/>
        <w:spacing w:after="60" w:line="240" w:lineRule="auto"/>
        <w:jc w:val="right"/>
        <w:rPr>
          <w:rFonts w:ascii="Tahoma" w:hAnsi="Tahoma" w:cs="Tahoma"/>
          <w:bCs/>
        </w:rPr>
      </w:pPr>
      <w:r>
        <w:rPr>
          <w:rFonts w:ascii="Tahoma" w:hAnsi="Tahoma"/>
        </w:rPr>
        <w:t xml:space="preserve">João Maria de Oliveira </w:t>
      </w:r>
      <w:r>
        <w:rPr>
          <w:rStyle w:val="Refdenotaderodap"/>
          <w:rFonts w:ascii="Tahoma" w:hAnsi="Tahoma" w:cs="Tahoma"/>
          <w:bCs/>
        </w:rPr>
        <w:footnoteReference w:customMarkFollows="1" w:id="3"/>
        <w:t>c</w:t>
      </w:r>
    </w:p>
    <w:bookmarkEnd w:id="0"/>
    <w:p w14:paraId="0CDD594F" w14:textId="77777777" w:rsidR="008C41B8" w:rsidRPr="00786FE2" w:rsidRDefault="008C41B8" w:rsidP="00786FE2">
      <w:pPr>
        <w:pStyle w:val="TITULO"/>
        <w:spacing w:line="240" w:lineRule="auto"/>
        <w:rPr>
          <w:rStyle w:val="Refdenotaderodap"/>
          <w:sz w:val="24"/>
          <w:szCs w:val="24"/>
        </w:rPr>
      </w:pPr>
    </w:p>
    <w:p w14:paraId="22B7F3EF" w14:textId="43028315" w:rsidR="008C41B8" w:rsidRPr="00E5019B" w:rsidRDefault="008C41B8" w:rsidP="009E0AE7">
      <w:pPr>
        <w:pStyle w:val="RESUMOEE"/>
        <w:spacing w:line="240" w:lineRule="auto"/>
        <w:rPr>
          <w:rFonts w:ascii="Times New Roman" w:hAnsi="Times New Roman" w:cs="Times New Roman"/>
          <w:color w:val="FF0000"/>
        </w:rPr>
      </w:pPr>
      <w:r>
        <w:rPr>
          <w:rFonts w:ascii="Times New Roman" w:hAnsi="Times New Roman"/>
          <w:b/>
        </w:rPr>
        <w:t>Abstract:</w:t>
      </w:r>
      <w:r>
        <w:rPr>
          <w:rFonts w:ascii="Times New Roman" w:hAnsi="Times New Roman"/>
        </w:rPr>
        <w:t xml:space="preserve"> This paper analyze</w:t>
      </w:r>
      <w:r w:rsidR="00E06BE9">
        <w:rPr>
          <w:rFonts w:ascii="Times New Roman" w:hAnsi="Times New Roman"/>
        </w:rPr>
        <w:t>s</w:t>
      </w:r>
      <w:r>
        <w:rPr>
          <w:rFonts w:ascii="Times New Roman" w:hAnsi="Times New Roman"/>
        </w:rPr>
        <w:t xml:space="preserve"> the structural evolution of the electric sector in Brazil between 2010 and 2019 using the Input-Output framework. National results show that the industry has above average production multipliers that follow Brazilian economic performance and is considered a key sector – especially due to its supply –, having linkages with all other activities that exceed the economy’s average. Given </w:t>
      </w:r>
      <w:r w:rsidR="00020BFE">
        <w:rPr>
          <w:rFonts w:ascii="Times New Roman" w:hAnsi="Times New Roman"/>
        </w:rPr>
        <w:t>its</w:t>
      </w:r>
      <w:r>
        <w:rPr>
          <w:rFonts w:ascii="Times New Roman" w:hAnsi="Times New Roman"/>
        </w:rPr>
        <w:t xml:space="preserve"> importance, the paper analyzes the regional gains and spillovers from </w:t>
      </w:r>
      <w:r w:rsidR="00C33965">
        <w:rPr>
          <w:rFonts w:ascii="Times New Roman" w:hAnsi="Times New Roman"/>
        </w:rPr>
        <w:t>larger</w:t>
      </w:r>
      <w:r>
        <w:rPr>
          <w:rFonts w:ascii="Times New Roman" w:hAnsi="Times New Roman"/>
        </w:rPr>
        <w:t xml:space="preserve"> investments in the sector, revealing that the Northeast is the region with the </w:t>
      </w:r>
      <w:r w:rsidR="00BF7BF4">
        <w:rPr>
          <w:rFonts w:ascii="Times New Roman" w:hAnsi="Times New Roman"/>
        </w:rPr>
        <w:t>most significant</w:t>
      </w:r>
      <w:r>
        <w:rPr>
          <w:rFonts w:ascii="Times New Roman" w:hAnsi="Times New Roman"/>
        </w:rPr>
        <w:t xml:space="preserve"> impact on production, taxes, employment, and salaries.</w:t>
      </w:r>
    </w:p>
    <w:p w14:paraId="7874D6B8" w14:textId="77777777" w:rsidR="00910F6E" w:rsidRPr="00E5019B" w:rsidRDefault="00910F6E" w:rsidP="00CF651F">
      <w:pPr>
        <w:pStyle w:val="RESUMOEE"/>
        <w:rPr>
          <w:rFonts w:ascii="Times New Roman" w:hAnsi="Times New Roman" w:cs="Times New Roman"/>
          <w:color w:val="FF0000"/>
        </w:rPr>
      </w:pPr>
    </w:p>
    <w:p w14:paraId="0615CF33" w14:textId="69E3A130" w:rsidR="008C41B8" w:rsidRPr="00C33965" w:rsidRDefault="008C41B8" w:rsidP="009E0AE7">
      <w:pPr>
        <w:pStyle w:val="RESUMOEE"/>
        <w:spacing w:line="240" w:lineRule="auto"/>
        <w:rPr>
          <w:rFonts w:ascii="Times New Roman" w:hAnsi="Times New Roman" w:cs="Times New Roman"/>
        </w:rPr>
      </w:pPr>
      <w:r w:rsidRPr="00C33965">
        <w:rPr>
          <w:rFonts w:ascii="Times New Roman" w:hAnsi="Times New Roman"/>
          <w:b/>
        </w:rPr>
        <w:t>Keywords:</w:t>
      </w:r>
      <w:r w:rsidRPr="00C33965">
        <w:rPr>
          <w:rFonts w:ascii="Times New Roman" w:hAnsi="Times New Roman"/>
        </w:rPr>
        <w:t xml:space="preserve"> Input-</w:t>
      </w:r>
      <w:r w:rsidR="00786FE2" w:rsidRPr="00C33965">
        <w:rPr>
          <w:rFonts w:ascii="Times New Roman" w:hAnsi="Times New Roman"/>
        </w:rPr>
        <w:t>Output</w:t>
      </w:r>
      <w:r w:rsidRPr="00C33965">
        <w:rPr>
          <w:rFonts w:ascii="Times New Roman" w:hAnsi="Times New Roman"/>
        </w:rPr>
        <w:t>; Energy; Electricity; Investment.</w:t>
      </w:r>
    </w:p>
    <w:p w14:paraId="49C987A5" w14:textId="3ED73CDC" w:rsidR="008C41B8" w:rsidRPr="00522DCF" w:rsidRDefault="008C41B8" w:rsidP="009E0AE7">
      <w:pPr>
        <w:pStyle w:val="RESUMOEE"/>
        <w:spacing w:line="240" w:lineRule="auto"/>
        <w:rPr>
          <w:rFonts w:ascii="Times New Roman" w:hAnsi="Times New Roman" w:cs="Times New Roman"/>
          <w:lang w:val="pt-BR"/>
        </w:rPr>
      </w:pPr>
      <w:r w:rsidRPr="00AA6BA8">
        <w:rPr>
          <w:rFonts w:ascii="Times New Roman" w:hAnsi="Times New Roman"/>
          <w:b/>
          <w:lang w:val="pt-BR"/>
        </w:rPr>
        <w:t xml:space="preserve">JEL </w:t>
      </w:r>
      <w:r w:rsidR="000829BA" w:rsidRPr="00AA6BA8">
        <w:rPr>
          <w:rFonts w:ascii="Times New Roman" w:hAnsi="Times New Roman"/>
          <w:b/>
          <w:lang w:val="pt-BR"/>
        </w:rPr>
        <w:t>C</w:t>
      </w:r>
      <w:r w:rsidRPr="00AA6BA8">
        <w:rPr>
          <w:rFonts w:ascii="Times New Roman" w:hAnsi="Times New Roman"/>
          <w:b/>
          <w:lang w:val="pt-BR"/>
        </w:rPr>
        <w:t>lassification:</w:t>
      </w:r>
      <w:r w:rsidRPr="00522DCF">
        <w:rPr>
          <w:rFonts w:ascii="Times New Roman" w:hAnsi="Times New Roman"/>
          <w:lang w:val="pt-BR"/>
        </w:rPr>
        <w:t xml:space="preserve"> C67; H54; O18.</w:t>
      </w:r>
    </w:p>
    <w:p w14:paraId="5365A6A6" w14:textId="77777777" w:rsidR="008C41B8" w:rsidRPr="00522DCF" w:rsidRDefault="008C41B8" w:rsidP="00CF651F">
      <w:pPr>
        <w:pStyle w:val="RESUMOEE"/>
        <w:rPr>
          <w:rFonts w:ascii="Times New Roman" w:hAnsi="Times New Roman" w:cs="Times New Roman"/>
          <w:lang w:val="pt-BR"/>
        </w:rPr>
      </w:pPr>
    </w:p>
    <w:p w14:paraId="7DB702BF" w14:textId="65339562" w:rsidR="008C41B8" w:rsidRPr="00786FE2" w:rsidRDefault="008C41B8" w:rsidP="009C11E7">
      <w:pPr>
        <w:pStyle w:val="RESUMOEE"/>
        <w:spacing w:line="240" w:lineRule="auto"/>
        <w:rPr>
          <w:rFonts w:ascii="Times New Roman" w:hAnsi="Times New Roman" w:cs="Times New Roman"/>
          <w:lang w:val="pt-BR"/>
        </w:rPr>
      </w:pPr>
      <w:r w:rsidRPr="00786FE2">
        <w:rPr>
          <w:rFonts w:ascii="Times New Roman" w:hAnsi="Times New Roman"/>
          <w:b/>
          <w:lang w:val="pt-BR"/>
        </w:rPr>
        <w:t xml:space="preserve">Resumo: </w:t>
      </w:r>
      <w:r w:rsidRPr="00786FE2">
        <w:rPr>
          <w:rFonts w:ascii="Times New Roman" w:hAnsi="Times New Roman"/>
          <w:lang w:val="pt-BR"/>
        </w:rPr>
        <w:t>Este trabalho analisa a evolução da estrutura do setor elétrico brasileiro entre 2010 e 2019 a partir da modelagem insumo-produto. Os resultados nacionais mostram que o setor possui multiplicadores de produção acima da média, os quais acompanham o desempenho da economia brasileira, e é considerado estratégico – especialmente pelo lado da oferta –, sendo que suas relações afetam todas as outras atividades acima da média da economia. Dada essa importância, o artigo investiga os ganhos e transbordamentos regionais de maiores investimentos no setor, o que revelou que o Nordeste é a região com os maiores impactos sobre produção, impostos, emprego e salários.</w:t>
      </w:r>
    </w:p>
    <w:p w14:paraId="5CB31ECA" w14:textId="77777777" w:rsidR="00887214" w:rsidRPr="00786FE2" w:rsidRDefault="00887214" w:rsidP="00786FE2">
      <w:pPr>
        <w:pStyle w:val="RESUMOEE"/>
        <w:spacing w:line="240" w:lineRule="auto"/>
        <w:rPr>
          <w:rFonts w:ascii="Times New Roman" w:hAnsi="Times New Roman" w:cs="Times New Roman"/>
          <w:lang w:val="pt-BR"/>
        </w:rPr>
      </w:pPr>
    </w:p>
    <w:p w14:paraId="658E812E" w14:textId="51B71E90" w:rsidR="00F91AFE" w:rsidRPr="00786FE2" w:rsidRDefault="008C41B8" w:rsidP="00786FE2">
      <w:pPr>
        <w:pStyle w:val="RESUMOEE"/>
        <w:spacing w:line="240" w:lineRule="auto"/>
        <w:rPr>
          <w:rFonts w:ascii="Times New Roman" w:hAnsi="Times New Roman" w:cs="Times New Roman"/>
          <w:color w:val="auto"/>
          <w:lang w:val="pt-BR"/>
        </w:rPr>
      </w:pPr>
      <w:r w:rsidRPr="00786FE2">
        <w:rPr>
          <w:rFonts w:ascii="Times New Roman" w:hAnsi="Times New Roman"/>
          <w:b/>
          <w:lang w:val="pt-BR"/>
        </w:rPr>
        <w:t>Palavras-chave:</w:t>
      </w:r>
      <w:r w:rsidRPr="00786FE2">
        <w:rPr>
          <w:rFonts w:ascii="Times New Roman" w:hAnsi="Times New Roman"/>
          <w:lang w:val="pt-BR"/>
        </w:rPr>
        <w:t xml:space="preserve"> </w:t>
      </w:r>
      <w:r w:rsidR="00786FE2" w:rsidRPr="00786FE2">
        <w:rPr>
          <w:rFonts w:ascii="Times New Roman" w:hAnsi="Times New Roman" w:cs="Times New Roman"/>
          <w:lang w:val="pt-BR"/>
        </w:rPr>
        <w:t>Insumo-Produto; Energia; Eletricidade; Investimento.</w:t>
      </w:r>
    </w:p>
    <w:p w14:paraId="4CC99490" w14:textId="0B0B01C2" w:rsidR="00887214" w:rsidRPr="00786FE2" w:rsidRDefault="00887214" w:rsidP="00786FE2">
      <w:pPr>
        <w:pStyle w:val="RESUMOEE"/>
        <w:spacing w:after="240" w:line="240" w:lineRule="auto"/>
        <w:rPr>
          <w:rFonts w:ascii="Times New Roman" w:hAnsi="Times New Roman" w:cs="Times New Roman"/>
          <w:color w:val="auto"/>
          <w:lang w:val="pt-BR"/>
        </w:rPr>
      </w:pPr>
      <w:r w:rsidRPr="00786FE2">
        <w:rPr>
          <w:rFonts w:ascii="Times New Roman" w:hAnsi="Times New Roman"/>
          <w:b/>
          <w:lang w:val="pt-BR"/>
        </w:rPr>
        <w:t>Classificação JEL:</w:t>
      </w:r>
      <w:r w:rsidRPr="00786FE2">
        <w:rPr>
          <w:rFonts w:ascii="Times New Roman" w:hAnsi="Times New Roman"/>
          <w:lang w:val="pt-BR"/>
        </w:rPr>
        <w:t xml:space="preserve"> C67; H54; O18.</w:t>
      </w:r>
    </w:p>
    <w:p w14:paraId="06EF2ADE" w14:textId="0C466F49" w:rsidR="00F91AFE" w:rsidRPr="00522DCF" w:rsidRDefault="00F91AFE" w:rsidP="00786FE2">
      <w:pPr>
        <w:pStyle w:val="CITAORESUMO"/>
        <w:pBdr>
          <w:top w:val="single" w:sz="8" w:space="0" w:color="auto"/>
        </w:pBdr>
        <w:spacing w:line="240" w:lineRule="auto"/>
        <w:rPr>
          <w:rFonts w:ascii="Tahoma" w:hAnsi="Tahoma" w:cs="Tahoma"/>
          <w:b/>
          <w:bCs/>
          <w:sz w:val="16"/>
          <w:szCs w:val="16"/>
          <w:lang w:val="pt-BR"/>
        </w:rPr>
      </w:pPr>
    </w:p>
    <w:p w14:paraId="300EC42A" w14:textId="4908088A" w:rsidR="008C41B8" w:rsidRPr="006E493D" w:rsidRDefault="008C41B8" w:rsidP="008C41B8">
      <w:pPr>
        <w:pStyle w:val="SUBTITULO"/>
        <w:rPr>
          <w:b/>
          <w:bCs w:val="0"/>
          <w:spacing w:val="2"/>
        </w:rPr>
      </w:pPr>
      <w:r>
        <w:rPr>
          <w:b/>
        </w:rPr>
        <w:lastRenderedPageBreak/>
        <w:t xml:space="preserve">1. </w:t>
      </w:r>
      <w:bookmarkStart w:id="1" w:name="_Hlk39817079"/>
      <w:r>
        <w:rPr>
          <w:b/>
        </w:rPr>
        <w:t xml:space="preserve">Introduction </w:t>
      </w:r>
    </w:p>
    <w:p w14:paraId="418841B8" w14:textId="77777777" w:rsidR="008C41B8" w:rsidRPr="006E493D" w:rsidRDefault="008C41B8" w:rsidP="008C41B8">
      <w:pPr>
        <w:pStyle w:val="CORPO"/>
        <w:rPr>
          <w:rFonts w:ascii="Times New Roman" w:hAnsi="Times New Roman" w:cs="Times New Roman"/>
        </w:rPr>
      </w:pPr>
    </w:p>
    <w:bookmarkEnd w:id="1"/>
    <w:p w14:paraId="2E44FD45" w14:textId="4108F826" w:rsidR="001E7D36" w:rsidRPr="001E7D36" w:rsidRDefault="001E7D36" w:rsidP="001E7D36">
      <w:pPr>
        <w:pStyle w:val="Corpodetexto"/>
        <w:rPr>
          <w:color w:val="000000" w:themeColor="text1"/>
        </w:rPr>
      </w:pPr>
      <w:r>
        <w:rPr>
          <w:color w:val="000000" w:themeColor="text1"/>
        </w:rPr>
        <w:t>The electrical sector</w:t>
      </w:r>
      <w:r w:rsidRPr="001E7D36">
        <w:rPr>
          <w:rStyle w:val="Refdenotaderodap"/>
          <w:color w:val="000000" w:themeColor="text1"/>
        </w:rPr>
        <w:footnoteReference w:id="4"/>
      </w:r>
      <w:r>
        <w:rPr>
          <w:color w:val="000000" w:themeColor="text1"/>
        </w:rPr>
        <w:t xml:space="preserve"> is essential to the proper functioning of the economy, </w:t>
      </w:r>
      <w:r w:rsidR="006C5569">
        <w:rPr>
          <w:color w:val="000000" w:themeColor="text1"/>
        </w:rPr>
        <w:t>with</w:t>
      </w:r>
      <w:r>
        <w:rPr>
          <w:color w:val="000000" w:themeColor="text1"/>
        </w:rPr>
        <w:t xml:space="preserve"> a two-way causality between electricity consumption and economic growth</w:t>
      </w:r>
      <w:r w:rsidR="00EC1AE9">
        <w:rPr>
          <w:color w:val="000000" w:themeColor="text1"/>
        </w:rPr>
        <w:t xml:space="preserve"> </w:t>
      </w:r>
      <w:r w:rsidRPr="001E7D36">
        <w:rPr>
          <w:color w:val="000000" w:themeColor="text1"/>
        </w:rPr>
        <w:fldChar w:fldCharType="begin"/>
      </w:r>
      <w:r w:rsidRPr="001E7D36">
        <w:rPr>
          <w:color w:val="000000" w:themeColor="text1"/>
        </w:rPr>
        <w:instrText xml:space="preserve"> ADDIN ZOTERO_ITEM CSL_CITATION {"citationID":"os1NdNQq","properties":{"formattedCitation":"(APERGIS; PAYNE, 2011; SARWAR; CHEN; WAHEED, 2017; STERN; BURKE; BRUNS, 2019)","plainCitation":"(APERGIS; PAYNE, 2011; SARWAR; CHEN; WAHEED, 2017; STERN; BURKE; BRUNS, 2019)","noteIndex":0},"citationItems":[{"id":137,"uris":["http://zotero.org/users/8767809/items/D2T8BR47"],"itemData":{"id":137,"type":"article-journal","abstract":"This study examines the relationship between electricity consumption and economic growth for 88 countries categorized into four panels based on the World Bank income classification (high, upper middle, lower middle, and low income) within a multivariate panel framework over the period 1990–2006. The Larsson et al. (2001) panel cointegration test indicates there is a long-run equilibrium relationship between real GDP, coal consumption, real gross fixed capital formation, and the labor force for the high, upper middle, and lower middle income country panels. The results from the panel vector error correction models reveal (1) bidirectional causality between electricity consumption and economic growth in both the short- and long-run for the high income and upper-middle income country panels; (2) unidirectional causality from electricity consumption to economic growth in the short-run, but bidirectional causality in the long-run for the lower-middle income country panel; and (3) unidirectional causality from electricity consumption to economic growth for the low income country panel.","container-title":"Energy Economics","DOI":"10.1016/j.eneco.2010.12.018","ISSN":"0140-9883","issue":"5","journalAbbreviation":"Energy Economics","page":"770-781","source":"ScienceDirect","title":"A dynamic panel study of economic development and the electricity consumption-growth nexus","volume":"33","author":[{"family":"Apergis","given":"Nicholas"},{"family":"Payne","given":"James"}],"issued":{"date-parts":[["2011",9,1]]}}},{"id":133,"uris":["http://zotero.org/users/8767809/items/NAYJ5GSC"],"itemData":{"id":133,"type":"article-journal","abstract":"The study uses the panel data of 210 countries over the period 1960–2014 to analyze the empirical relationship between economic growth, electricity consumption, oil price, gross fixed capital formation and population. While the current literature on the topic focus largely on relationship between oil consumption and economic growth while only a few presented the research studying relationship between electricity and economic growth, we used oil price and electricity consumption, jointly, to study the highly predictive observer for economic growth. Furthermore, the data is categorized into income, OECD, regional level, renewable energy consumption level and oil export/import countries. Pedroni panel cointegration, fully modified OLS and panel vector error correction test apply to analyze the cointegration, short run and the long run relationship between the variables. The results of full panel confirm a bidirectional relationship between electricity consumption and GDP, oil price and GDP, fixed capital formation, population and GDP. Moreover, the results confirm that countries using non-renewable sources for electricity generating, such as through coal and oil, the electricity consumption of these countries exhibit a negative relationship with the economic growth. Furthermore, the finding varies across income, OECD and regional, renewable energy consumption level.","container-title":"Renewable and Sustainable Energy Reviews","DOI":"10.1016/j.rser.2017.03.063","ISSN":"1364-0321","journalAbbreviation":"Renewable and Sustainable Energy Reviews","page":"9-18","source":"ScienceDirect","title":"Electricity consumption, oil price and economic growth: Global perspective","title-short":"Electricity consumption, oil price and economic growth","volume":"76","author":[{"family":"Sarwar","given":"Suleman"},{"family":"Chen","given":"Wei"},{"family":"Waheed","given":"Rida"}],"issued":{"date-parts":[["2017",9,1]]}}},{"id":135,"uris":["http://zotero.org/users/8767809/items/M8JVIQNH"],"itemData":{"id":135,"type":"article","abstract":"We find that electricity use and access are strongly correlated with economic development, as theory would suggest. Despite large empirical literatures and suggestive case evidence, there are, however, few methodologically strong studies that establish causal effects on an economy-wide basis. There is some evidence that reliability of electricity supply is important for economic growth. We propose that future research focuses on identifying the causal effects of electricity reliability, infrastructure, and access on economic growth; testing the replicability of the literature; and deepening our theoretical understanding of how lack ofavailability of electricity can be a constraint to growth.","language":"en","source":"escholarship.org","title":"The Impact of Electricity on Economic Development: A Macroeconomic Perspective","title-short":"The Impact of Electricity on Economic Development","URL":"https://escholarship.org/uc/item/7jb0015q","author":[{"family":"Stern","given":"David"},{"family":"Burke","given":"Paul"},{"family":"Bruns","given":"Stephan"}],"accessed":{"date-parts":[["2023",12,26]]},"issued":{"date-parts":[["2019",5,31]]}}}],"schema":"https://github.com/citation-style-language/schema/raw/master/csl-citation.json"} </w:instrText>
      </w:r>
      <w:r w:rsidRPr="001E7D36">
        <w:rPr>
          <w:color w:val="000000" w:themeColor="text1"/>
        </w:rPr>
        <w:fldChar w:fldCharType="separate"/>
      </w:r>
      <w:r w:rsidRPr="001E7D36">
        <w:rPr>
          <w:color w:val="000000" w:themeColor="text1"/>
        </w:rPr>
        <w:t>(</w:t>
      </w:r>
      <w:r w:rsidR="000141DD">
        <w:rPr>
          <w:color w:val="000000" w:themeColor="text1"/>
        </w:rPr>
        <w:t>Apergis</w:t>
      </w:r>
      <w:r w:rsidRPr="001E7D36">
        <w:rPr>
          <w:color w:val="000000" w:themeColor="text1"/>
        </w:rPr>
        <w:t xml:space="preserve">; </w:t>
      </w:r>
      <w:r w:rsidR="000141DD">
        <w:rPr>
          <w:color w:val="000000" w:themeColor="text1"/>
        </w:rPr>
        <w:t>Payne</w:t>
      </w:r>
      <w:r w:rsidRPr="001E7D36">
        <w:rPr>
          <w:color w:val="000000" w:themeColor="text1"/>
        </w:rPr>
        <w:t xml:space="preserve">, 2011; </w:t>
      </w:r>
      <w:r w:rsidR="000141DD">
        <w:rPr>
          <w:color w:val="000000" w:themeColor="text1"/>
        </w:rPr>
        <w:t>Sarway</w:t>
      </w:r>
      <w:r w:rsidRPr="001E7D36">
        <w:rPr>
          <w:color w:val="000000" w:themeColor="text1"/>
        </w:rPr>
        <w:t xml:space="preserve">; </w:t>
      </w:r>
      <w:r w:rsidR="000141DD">
        <w:rPr>
          <w:color w:val="000000" w:themeColor="text1"/>
        </w:rPr>
        <w:t>Chen</w:t>
      </w:r>
      <w:r w:rsidRPr="001E7D36">
        <w:rPr>
          <w:color w:val="000000" w:themeColor="text1"/>
        </w:rPr>
        <w:t xml:space="preserve">; </w:t>
      </w:r>
      <w:r w:rsidR="000141DD">
        <w:rPr>
          <w:color w:val="000000" w:themeColor="text1"/>
        </w:rPr>
        <w:t>Waheed</w:t>
      </w:r>
      <w:r w:rsidRPr="001E7D36">
        <w:rPr>
          <w:color w:val="000000" w:themeColor="text1"/>
        </w:rPr>
        <w:t xml:space="preserve">, 2017; </w:t>
      </w:r>
      <w:r w:rsidR="000141DD">
        <w:rPr>
          <w:color w:val="000000" w:themeColor="text1"/>
        </w:rPr>
        <w:t>Stern</w:t>
      </w:r>
      <w:r w:rsidRPr="001E7D36">
        <w:rPr>
          <w:color w:val="000000" w:themeColor="text1"/>
        </w:rPr>
        <w:t xml:space="preserve">; </w:t>
      </w:r>
      <w:r w:rsidR="000141DD">
        <w:rPr>
          <w:color w:val="000000" w:themeColor="text1"/>
        </w:rPr>
        <w:t>Burke</w:t>
      </w:r>
      <w:r w:rsidRPr="001E7D36">
        <w:rPr>
          <w:color w:val="000000" w:themeColor="text1"/>
        </w:rPr>
        <w:t xml:space="preserve">; </w:t>
      </w:r>
      <w:r w:rsidR="000141DD">
        <w:rPr>
          <w:color w:val="000000" w:themeColor="text1"/>
        </w:rPr>
        <w:t>Bruns</w:t>
      </w:r>
      <w:r w:rsidRPr="001E7D36">
        <w:rPr>
          <w:color w:val="000000" w:themeColor="text1"/>
        </w:rPr>
        <w:t>, 2019)</w:t>
      </w:r>
      <w:r w:rsidRPr="001E7D36">
        <w:rPr>
          <w:color w:val="000000" w:themeColor="text1"/>
        </w:rPr>
        <w:fldChar w:fldCharType="end"/>
      </w:r>
      <w:r>
        <w:rPr>
          <w:color w:val="000000" w:themeColor="text1"/>
        </w:rPr>
        <w:t xml:space="preserve">. </w:t>
      </w:r>
      <w:r w:rsidR="003770BD">
        <w:rPr>
          <w:color w:val="000000" w:themeColor="text1"/>
        </w:rPr>
        <w:t>Thus</w:t>
      </w:r>
      <w:r>
        <w:rPr>
          <w:color w:val="000000" w:themeColor="text1"/>
        </w:rPr>
        <w:t>, the unavailability of electricity can be a bottleneck for production and generate a series of adverse effects.</w:t>
      </w:r>
    </w:p>
    <w:p w14:paraId="27B51C9B" w14:textId="7FFCAF4D" w:rsidR="001E7D36" w:rsidRPr="001E7D36" w:rsidRDefault="001E7D36" w:rsidP="001E7D36">
      <w:pPr>
        <w:pStyle w:val="Corpodetexto"/>
        <w:rPr>
          <w:color w:val="000000" w:themeColor="text1"/>
        </w:rPr>
      </w:pPr>
      <w:r>
        <w:rPr>
          <w:color w:val="000000" w:themeColor="text1"/>
        </w:rPr>
        <w:t>Given this strong relationship with economic performance, the analysis of the electricity sector and its dynamics provides important insight</w:t>
      </w:r>
      <w:r w:rsidR="007C5D13">
        <w:rPr>
          <w:color w:val="000000" w:themeColor="text1"/>
        </w:rPr>
        <w:t>s</w:t>
      </w:r>
      <w:r>
        <w:rPr>
          <w:color w:val="000000" w:themeColor="text1"/>
        </w:rPr>
        <w:t xml:space="preserve"> into the functioning of the economy. The </w:t>
      </w:r>
      <w:r w:rsidR="007C5D13">
        <w:rPr>
          <w:color w:val="000000" w:themeColor="text1"/>
        </w:rPr>
        <w:t>paper’s goal</w:t>
      </w:r>
      <w:r>
        <w:rPr>
          <w:color w:val="000000" w:themeColor="text1"/>
        </w:rPr>
        <w:t xml:space="preserve"> is to examine data from 2010, 2013, 2016 and 2019 using the </w:t>
      </w:r>
      <w:r w:rsidR="007C5D13">
        <w:rPr>
          <w:color w:val="000000" w:themeColor="text1"/>
        </w:rPr>
        <w:t>I</w:t>
      </w:r>
      <w:r>
        <w:rPr>
          <w:color w:val="000000" w:themeColor="text1"/>
        </w:rPr>
        <w:t>nput-</w:t>
      </w:r>
      <w:r w:rsidR="007C5D13">
        <w:rPr>
          <w:color w:val="000000" w:themeColor="text1"/>
        </w:rPr>
        <w:t>O</w:t>
      </w:r>
      <w:r>
        <w:rPr>
          <w:color w:val="000000" w:themeColor="text1"/>
        </w:rPr>
        <w:t xml:space="preserve">utput </w:t>
      </w:r>
      <w:r w:rsidR="007C5D13">
        <w:rPr>
          <w:color w:val="000000" w:themeColor="text1"/>
        </w:rPr>
        <w:t>framework</w:t>
      </w:r>
      <w:r>
        <w:rPr>
          <w:color w:val="000000" w:themeColor="text1"/>
        </w:rPr>
        <w:t xml:space="preserve"> </w:t>
      </w:r>
      <w:r w:rsidR="007C5D13">
        <w:rPr>
          <w:color w:val="000000" w:themeColor="text1"/>
        </w:rPr>
        <w:t>to</w:t>
      </w:r>
      <w:r>
        <w:rPr>
          <w:color w:val="000000" w:themeColor="text1"/>
        </w:rPr>
        <w:t xml:space="preserve"> verify the importance of the electrical activity for the Brazilian economy. Therefore, the evolution of its production multipliers will be analyzed and its degree of </w:t>
      </w:r>
      <w:r w:rsidR="00B17B3C">
        <w:rPr>
          <w:color w:val="000000" w:themeColor="text1"/>
        </w:rPr>
        <w:t>connectivity</w:t>
      </w:r>
      <w:r>
        <w:rPr>
          <w:color w:val="000000" w:themeColor="text1"/>
        </w:rPr>
        <w:t xml:space="preserve"> with other productive sectors will be measured through linkage </w:t>
      </w:r>
      <w:r w:rsidR="004539EE">
        <w:rPr>
          <w:color w:val="000000" w:themeColor="text1"/>
        </w:rPr>
        <w:t>indexes</w:t>
      </w:r>
      <w:r>
        <w:rPr>
          <w:color w:val="000000" w:themeColor="text1"/>
        </w:rPr>
        <w:t xml:space="preserve"> – both traditional and pure –, coefficients of variation and fields of influence.</w:t>
      </w:r>
    </w:p>
    <w:p w14:paraId="6A17264C" w14:textId="7AB2F9E8" w:rsidR="001E7D36" w:rsidRPr="001E7D36" w:rsidRDefault="00D76776" w:rsidP="001E7D36">
      <w:pPr>
        <w:pStyle w:val="Corpodetexto"/>
        <w:rPr>
          <w:color w:val="000000" w:themeColor="text1"/>
        </w:rPr>
      </w:pPr>
      <w:r>
        <w:rPr>
          <w:color w:val="000000" w:themeColor="text1"/>
        </w:rPr>
        <w:t>Adding</w:t>
      </w:r>
      <w:r w:rsidR="001E7D36">
        <w:rPr>
          <w:color w:val="000000" w:themeColor="text1"/>
        </w:rPr>
        <w:t xml:space="preserve"> to the relevance of electrical activity is the fact that the country has faced recurring threats of </w:t>
      </w:r>
      <w:r w:rsidR="00FB4C8C" w:rsidRPr="00FB4C8C">
        <w:rPr>
          <w:color w:val="000000" w:themeColor="text1"/>
        </w:rPr>
        <w:t>water crises during the 2010s, which harmed electricity generation due to Brazil's heavy reliance on hydroelectric sources</w:t>
      </w:r>
      <w:r w:rsidR="00FB4C8C">
        <w:rPr>
          <w:color w:val="000000" w:themeColor="text1"/>
        </w:rPr>
        <w:t xml:space="preserve"> </w:t>
      </w:r>
      <w:r w:rsidR="001E7D36" w:rsidRPr="001E7D36">
        <w:rPr>
          <w:color w:val="000000" w:themeColor="text1"/>
        </w:rPr>
        <w:fldChar w:fldCharType="begin"/>
      </w:r>
      <w:r w:rsidR="001E7D36" w:rsidRPr="001E7D36">
        <w:rPr>
          <w:color w:val="000000" w:themeColor="text1"/>
        </w:rPr>
        <w:instrText xml:space="preserve"> ADDIN ZOTERO_ITEM CSL_CITATION {"citationID":"pTBV7vmX","properties":{"formattedCitation":"(BRASIL, 2020)","plainCitation":"(BRASIL, 2020)","noteIndex":0},"citationItems":[{"id":66,"uris":["http://zotero.org/users/8767809/items/CFJPX35X",["http://zotero.org/users/8767809/items/CFJPX35X"]],"itemData":{"id":66,"type":"document","publisher":"Ministério de Minas e Energia","title":"Balanço Energético Nacional 2020 - ano base 2019","URL":"https://www.epe.gov.br/sites-pt/publicacoes-dados-abertos/publicacoes/PublicacoesArquivos/publicacao-479/topico-528/BEN2020_sp.pdf","author":[{"family":"Brasil","given":""}],"accessed":{"date-parts":[["2021",12,13]]},"issued":{"date-parts":[["2020"]]}}}],"schema":"https://github.com/citation-style-language/schema/raw/master/csl-citation.json"} </w:instrText>
      </w:r>
      <w:r w:rsidR="001E7D36" w:rsidRPr="001E7D36">
        <w:rPr>
          <w:color w:val="000000" w:themeColor="text1"/>
        </w:rPr>
        <w:fldChar w:fldCharType="separate"/>
      </w:r>
      <w:r w:rsidR="001E7D36" w:rsidRPr="001E7D36">
        <w:rPr>
          <w:color w:val="000000" w:themeColor="text1"/>
        </w:rPr>
        <w:t>(</w:t>
      </w:r>
      <w:r w:rsidR="001A159C">
        <w:rPr>
          <w:color w:val="000000" w:themeColor="text1"/>
        </w:rPr>
        <w:t>Brazil</w:t>
      </w:r>
      <w:r w:rsidR="001E7D36" w:rsidRPr="001E7D36">
        <w:rPr>
          <w:color w:val="000000" w:themeColor="text1"/>
        </w:rPr>
        <w:t>, 2020)</w:t>
      </w:r>
      <w:r w:rsidR="001E7D36" w:rsidRPr="001E7D36">
        <w:rPr>
          <w:color w:val="000000" w:themeColor="text1"/>
        </w:rPr>
        <w:fldChar w:fldCharType="end"/>
      </w:r>
      <w:r w:rsidR="001E7D36">
        <w:rPr>
          <w:color w:val="000000" w:themeColor="text1"/>
        </w:rPr>
        <w:t>. To mitigate potential adverse effects, investment</w:t>
      </w:r>
      <w:r w:rsidR="00FB4C8C">
        <w:rPr>
          <w:color w:val="000000" w:themeColor="text1"/>
        </w:rPr>
        <w:t>s</w:t>
      </w:r>
      <w:r w:rsidR="001E7D36">
        <w:rPr>
          <w:color w:val="000000" w:themeColor="text1"/>
        </w:rPr>
        <w:t xml:space="preserve"> in the sector – especially in other renewable alternatives – is </w:t>
      </w:r>
      <w:r w:rsidR="009F2429">
        <w:rPr>
          <w:color w:val="000000" w:themeColor="text1"/>
        </w:rPr>
        <w:t xml:space="preserve">essential </w:t>
      </w:r>
      <w:r w:rsidR="001E7D36" w:rsidRPr="001E7D36">
        <w:rPr>
          <w:color w:val="000000" w:themeColor="text1"/>
        </w:rPr>
        <w:fldChar w:fldCharType="begin"/>
      </w:r>
      <w:r w:rsidR="001E7D36" w:rsidRPr="001E7D36">
        <w:rPr>
          <w:color w:val="000000" w:themeColor="text1"/>
        </w:rPr>
        <w:instrText xml:space="preserve"> ADDIN ZOTERO_ITEM CSL_CITATION {"citationID":"Ep60uyGy","properties":{"formattedCitation":"(SILVA; NETO; SEIFERT, 2016)","plainCitation":"(SILVA; NETO; SEIFERT, 2016)","noteIndex":0},"citationItems":[{"id":113,"uris":["http://zotero.org/users/8767809/items/6ZEV3AKD"],"itemData":{"id":113,"type":"article-journal","abstract":"Hydropower is the backbone of the Brazilian electricity generation sector. Even though the use of this resource is advantaged in terms of greenhouse gas emissions, last years׳ severe droughts have exposed the country׳s huge dependency on hydroelectricity. Brazil׳s electricity supply system has shown to be vulnerable to electricity shortages and has demanded significant overhaul in order to address its challenges. The present paper provides a comprehensive review of the current status of the Brazilian electricity sector and discusses diversification of electricity generation mix as a strategy to improve electricity supply security in the country. An overview of the main features of the energy sources applied in Brazil is also presented through a review of the latest available generation data. The central section of this work is a discussion of the main causes of the current crisis and the future role of renewable energy sources in a 10-year perspective.","container-title":"Renewable and Sustainable Energy Reviews","DOI":"10.1016/j.rser.2016.01.001","ISSN":"1364-0321","journalAbbreviation":"Renewable and Sustainable Energy Reviews","page":"328-341","source":"ScienceDirect","title":"Electricity supply security and the future role of renewable energy sources in Brazil","volume":"59","author":[{"family":"Silva","given":"Rodrigo"},{"family":"Neto","given":"Ismael"},{"family":"Seifert","given":"Stephan"}],"issued":{"date-parts":[["2016",6,1]]}}}],"schema":"https://github.com/citation-style-language/schema/raw/master/csl-citation.json"} </w:instrText>
      </w:r>
      <w:r w:rsidR="001E7D36" w:rsidRPr="001E7D36">
        <w:rPr>
          <w:color w:val="000000" w:themeColor="text1"/>
        </w:rPr>
        <w:fldChar w:fldCharType="separate"/>
      </w:r>
      <w:r w:rsidR="001E7D36" w:rsidRPr="001E7D36">
        <w:rPr>
          <w:color w:val="000000" w:themeColor="text1"/>
        </w:rPr>
        <w:t>(</w:t>
      </w:r>
      <w:r w:rsidR="008C2850">
        <w:rPr>
          <w:color w:val="000000" w:themeColor="text1"/>
        </w:rPr>
        <w:t>Silva</w:t>
      </w:r>
      <w:r w:rsidR="001E7D36" w:rsidRPr="001E7D36">
        <w:rPr>
          <w:color w:val="000000" w:themeColor="text1"/>
        </w:rPr>
        <w:t xml:space="preserve">; </w:t>
      </w:r>
      <w:r w:rsidR="008C2850">
        <w:rPr>
          <w:color w:val="000000" w:themeColor="text1"/>
        </w:rPr>
        <w:t>Neto</w:t>
      </w:r>
      <w:r w:rsidR="001E7D36" w:rsidRPr="001E7D36">
        <w:rPr>
          <w:color w:val="000000" w:themeColor="text1"/>
        </w:rPr>
        <w:t xml:space="preserve">; </w:t>
      </w:r>
      <w:r w:rsidR="008C2850">
        <w:rPr>
          <w:color w:val="000000" w:themeColor="text1"/>
        </w:rPr>
        <w:t>Seifert</w:t>
      </w:r>
      <w:r w:rsidR="001E7D36" w:rsidRPr="001E7D36">
        <w:rPr>
          <w:color w:val="000000" w:themeColor="text1"/>
        </w:rPr>
        <w:t>, 2016)</w:t>
      </w:r>
      <w:r w:rsidR="001E7D36" w:rsidRPr="001E7D36">
        <w:rPr>
          <w:color w:val="000000" w:themeColor="text1"/>
        </w:rPr>
        <w:fldChar w:fldCharType="end"/>
      </w:r>
      <w:r w:rsidR="001E7D36">
        <w:rPr>
          <w:color w:val="000000" w:themeColor="text1"/>
        </w:rPr>
        <w:t xml:space="preserve">; in a continental country like Brazil, however, the decision of </w:t>
      </w:r>
      <w:r w:rsidR="001E7D36">
        <w:rPr>
          <w:i/>
          <w:color w:val="000000" w:themeColor="text1"/>
        </w:rPr>
        <w:t>where</w:t>
      </w:r>
      <w:r w:rsidR="001E7D36">
        <w:rPr>
          <w:color w:val="000000" w:themeColor="text1"/>
        </w:rPr>
        <w:t xml:space="preserve"> to invest is fundamental. </w:t>
      </w:r>
    </w:p>
    <w:p w14:paraId="5056F080" w14:textId="2BD41B4B" w:rsidR="00EE781F" w:rsidRPr="001E7D36" w:rsidRDefault="001E7D36" w:rsidP="00347B32">
      <w:pPr>
        <w:pStyle w:val="Corpodetexto"/>
        <w:rPr>
          <w:color w:val="000000" w:themeColor="text1"/>
        </w:rPr>
      </w:pPr>
      <w:r>
        <w:rPr>
          <w:color w:val="000000" w:themeColor="text1"/>
        </w:rPr>
        <w:t xml:space="preserve">In order to support this </w:t>
      </w:r>
      <w:r w:rsidR="00DC6903">
        <w:rPr>
          <w:color w:val="000000" w:themeColor="text1"/>
        </w:rPr>
        <w:t>policy</w:t>
      </w:r>
      <w:r>
        <w:rPr>
          <w:color w:val="000000" w:themeColor="text1"/>
        </w:rPr>
        <w:t>, this paper examines in which region investment in the electricity sector generates the greatest economic impact, using an interregional input-output matrix estimated with data from the Electronic Invoice of 2013</w:t>
      </w:r>
      <w:r w:rsidR="008C2850">
        <w:rPr>
          <w:color w:val="000000" w:themeColor="text1"/>
        </w:rPr>
        <w:t xml:space="preserve"> </w:t>
      </w:r>
      <w:r w:rsidRPr="001E7D36">
        <w:rPr>
          <w:color w:val="000000" w:themeColor="text1"/>
        </w:rPr>
        <w:fldChar w:fldCharType="begin"/>
      </w:r>
      <w:r w:rsidRPr="001E7D36">
        <w:rPr>
          <w:color w:val="000000" w:themeColor="text1"/>
        </w:rPr>
        <w:instrText xml:space="preserve"> ADDIN ZOTERO_ITEM CSL_CITATION {"citationID":"S3nXv5oV","properties":{"formattedCitation":"(OLIVEIRA, 2020)","plainCitation":"(OLIVEIRA, 2020)","noteIndex":0},"citationItems":[{"id":42,"uris":["http://zotero.org/users/8767809/items/VBKAAHXN",["http://zotero.org/users/8767809/items/VBKAAHXN"]],"itemData":{"id":42,"type":"thesis","abstract":"A alta carga tributária brasileira e sua complexidade tem merecido crescente atenção dos estudos \neconômicos. Diversas propostas de reforma tributária do sistema de tributos sobre o consumo de bens \ne serviços foram formuladas. A motivação principal para a mudança é a hipótese de que ele distorce a \nestrutura produtiva levando à alocação incorreta de recursos, gerando perdas de eficiência. Este \nestudo analisou os impactos econômicos nas dimensões regionais e setoriais de mudanças no sistema \nde cobrança desses impostos com o objetivo de confirmar essa hipótese. Utilizando modelo de EGC \ndinâmico com migração laboral e espacial, realizou simulações para vinte anos em cenários \ncontrafactuais à linha base da economia para obter resultados dos impactos em cada cenário sobre \nPIB, emprego e produtividade. Para alimentar o modelo, utilizou-se dados mundiais de comercio e \nestimou-se, de forma inédita, a matriz insumo-produto regional brasileira a partir dos dados da Nota \nFiscal Eletrônica. Também se estimou a matriz de fluxo migratório laboral intersetorial e inter-regional. \nOs resultados das simulações mostram que há ganhos alocativos relevantes de produção e de \nprodutividade com a mudança da sistemática tributária para um tributo único, com alíquota única \nincidente sobre o valor adicionado, quando se utiliza alíquota que garante o nível de arrecadação atual. \nUma alíquota um pouco abaixo desse valor provoca ganhos ainda maiores e a transição realizada em \ndez anos permite melhor realocação que a realizada em seis. Não há variação positiva ou negativa \nacima de 1%. Porém, há expressivos ganhos de produtividade em alguns setores e UFs. Os setores \nque mais produzem ganhos são a Indústria de transformação e a Distribuição de água e energia com \nefeitos positivos na maior parte das UFs. Os setores que mais perdem são a Agropecuária e \nHospedagem e alimentação. Dentre as UFs que mais ganham estão São Paulo, Acre e Amazonas. As \nque mais perdem são o Distrito Federal, Roraima, Amapá e Pernambuco. A maioria das UFs ganham \nem uns setores e perdem em outros, mas a maioria tem saldo positivo. Os resultados obtidos mostram \nque a mudança deve ser avaliada considerando a eficiência alocativa e não apenas a arrecadação e o \nbalanço fiscal.","event-place":"Brasília","genre":"Doutorado em Economia","language":"Português","license":"Acesso Aberto","note":"Accepted: 2020-07-01T14:29:09Z","publisher":"Universídade de Brasília","publisher-place":"Brasília","source":"repositorio.unb.br","title":"Efeitos da equalização tributária regional/setorial no Brasil: uma aplicação de equilíbrio geral dinâmico","title-short":"Efeitos da equalização tributária regional/setorial no Brasil","URL":"https://repositorio.unb.br/handle/10482/38622","author":[{"family":"Oliveira","given":"João Maria","dropping-particle":"de"}],"accessed":{"date-parts":[["2021",11,19]]},"issued":{"date-parts":[["2020"]]}}}],"schema":"https://github.com/citation-style-language/schema/raw/master/csl-citation.json"} </w:instrText>
      </w:r>
      <w:r w:rsidRPr="001E7D36">
        <w:rPr>
          <w:color w:val="000000" w:themeColor="text1"/>
        </w:rPr>
        <w:fldChar w:fldCharType="separate"/>
      </w:r>
      <w:r w:rsidRPr="001E7D36">
        <w:rPr>
          <w:color w:val="000000" w:themeColor="text1"/>
        </w:rPr>
        <w:t>(</w:t>
      </w:r>
      <w:r w:rsidR="008C2850">
        <w:rPr>
          <w:color w:val="000000" w:themeColor="text1"/>
        </w:rPr>
        <w:t>Oliveira</w:t>
      </w:r>
      <w:r w:rsidRPr="001E7D36">
        <w:rPr>
          <w:color w:val="000000" w:themeColor="text1"/>
        </w:rPr>
        <w:t>, 2020)</w:t>
      </w:r>
      <w:r w:rsidRPr="001E7D36">
        <w:rPr>
          <w:color w:val="000000" w:themeColor="text1"/>
        </w:rPr>
        <w:fldChar w:fldCharType="end"/>
      </w:r>
      <w:r>
        <w:rPr>
          <w:color w:val="000000" w:themeColor="text1"/>
        </w:rPr>
        <w:t xml:space="preserve">. </w:t>
      </w:r>
      <w:r w:rsidR="003F28C2">
        <w:rPr>
          <w:color w:val="000000" w:themeColor="text1"/>
        </w:rPr>
        <w:t>Such frameworks</w:t>
      </w:r>
      <w:r w:rsidR="00347B32">
        <w:rPr>
          <w:rStyle w:val="Refdenotaderodap"/>
          <w:color w:val="000000" w:themeColor="text1"/>
        </w:rPr>
        <w:footnoteReference w:id="5"/>
      </w:r>
      <w:r w:rsidR="003F28C2">
        <w:rPr>
          <w:color w:val="000000" w:themeColor="text1"/>
        </w:rPr>
        <w:t xml:space="preserve"> can be used </w:t>
      </w:r>
      <w:r>
        <w:rPr>
          <w:color w:val="000000" w:themeColor="text1"/>
        </w:rPr>
        <w:t xml:space="preserve">to simulate investment shocks and other components of final demand </w:t>
      </w:r>
      <w:r w:rsidR="003956D8">
        <w:rPr>
          <w:color w:val="000000" w:themeColor="text1"/>
        </w:rPr>
        <w:t>and</w:t>
      </w:r>
      <w:r>
        <w:rPr>
          <w:color w:val="000000" w:themeColor="text1"/>
        </w:rPr>
        <w:t xml:space="preserve"> provide important guidance for planning and implementing public policies.</w:t>
      </w:r>
    </w:p>
    <w:p w14:paraId="49E7446E" w14:textId="349EC740" w:rsidR="001E7D36" w:rsidRPr="001E7D36" w:rsidRDefault="001E7D36" w:rsidP="001E7D36">
      <w:pPr>
        <w:pStyle w:val="Corpodetexto"/>
        <w:rPr>
          <w:rFonts w:cs="Times New Roman"/>
          <w:color w:val="000000" w:themeColor="text1"/>
        </w:rPr>
      </w:pPr>
      <w:r>
        <w:rPr>
          <w:color w:val="000000" w:themeColor="text1"/>
        </w:rPr>
        <w:t xml:space="preserve">The national results show that the electricity sector has above-average production multipliers – </w:t>
      </w:r>
      <w:r w:rsidR="003956D8">
        <w:rPr>
          <w:color w:val="000000" w:themeColor="text1"/>
        </w:rPr>
        <w:t xml:space="preserve">evolving </w:t>
      </w:r>
      <w:r>
        <w:rPr>
          <w:color w:val="000000" w:themeColor="text1"/>
        </w:rPr>
        <w:t xml:space="preserve">in line with the economy's performance in the 2010s – and that it can be considered strategic, with linkage </w:t>
      </w:r>
      <w:r w:rsidR="004539EE">
        <w:rPr>
          <w:color w:val="000000" w:themeColor="text1"/>
        </w:rPr>
        <w:t>indexes</w:t>
      </w:r>
      <w:r>
        <w:rPr>
          <w:color w:val="000000" w:themeColor="text1"/>
        </w:rPr>
        <w:t xml:space="preserve"> above one, which is more pronounced on the supply side. Furthermore, its supply and demand relationships influence all other activities </w:t>
      </w:r>
      <w:r w:rsidR="003956D8">
        <w:rPr>
          <w:color w:val="000000" w:themeColor="text1"/>
        </w:rPr>
        <w:t>in a way that is above the average of</w:t>
      </w:r>
      <w:r>
        <w:rPr>
          <w:color w:val="000000" w:themeColor="text1"/>
        </w:rPr>
        <w:t xml:space="preserve"> the economy. </w:t>
      </w:r>
    </w:p>
    <w:p w14:paraId="48391663" w14:textId="38BAAFB7" w:rsidR="001E7D36" w:rsidRPr="001E7D36" w:rsidRDefault="001E7D36" w:rsidP="001E7D36">
      <w:pPr>
        <w:pStyle w:val="Corpodetexto"/>
        <w:rPr>
          <w:color w:val="000000" w:themeColor="text1"/>
        </w:rPr>
      </w:pPr>
      <w:r>
        <w:rPr>
          <w:color w:val="000000" w:themeColor="text1"/>
        </w:rPr>
        <w:lastRenderedPageBreak/>
        <w:t xml:space="preserve">The regional analysis, in turn, reveals that investments in the electricity sector in the Northeast generate the highest impact on production, taxes, employment and wages, which is consistent with the fact that the region is the most suitable for investments in renewable electricity sources. However, there are large spillover effects to other </w:t>
      </w:r>
      <w:r w:rsidR="00F058B7">
        <w:rPr>
          <w:color w:val="000000" w:themeColor="text1"/>
        </w:rPr>
        <w:t>regions</w:t>
      </w:r>
      <w:r>
        <w:rPr>
          <w:color w:val="000000" w:themeColor="text1"/>
        </w:rPr>
        <w:t xml:space="preserve">, especially to the Southeast, which concentrates a large part of the country's production. </w:t>
      </w:r>
    </w:p>
    <w:p w14:paraId="38994019" w14:textId="2B1927B7" w:rsidR="00CF238A" w:rsidRDefault="001E7D36" w:rsidP="004357B0">
      <w:pPr>
        <w:pStyle w:val="Corpodetexto"/>
        <w:rPr>
          <w:color w:val="000000" w:themeColor="text1"/>
        </w:rPr>
      </w:pPr>
      <w:r>
        <w:rPr>
          <w:color w:val="000000" w:themeColor="text1"/>
        </w:rPr>
        <w:t xml:space="preserve">The rest of the paper is organized as follows: Section 2 describes the Brazilian electricity sector and its evolution throughout the 2010s, as well as its relationship with the country's economic performance. Section 3 presents the theoretical framework of the national and regional input-output models, the results of which are in Sections 4 and 5, respectively. </w:t>
      </w:r>
      <w:r w:rsidR="00E87ED3">
        <w:rPr>
          <w:color w:val="000000" w:themeColor="text1"/>
        </w:rPr>
        <w:t>The</w:t>
      </w:r>
      <w:r>
        <w:rPr>
          <w:color w:val="000000" w:themeColor="text1"/>
        </w:rPr>
        <w:t xml:space="preserve"> concluding remarks are presented in Section 6.</w:t>
      </w:r>
    </w:p>
    <w:p w14:paraId="3FC95810" w14:textId="77777777" w:rsidR="004357B0" w:rsidRPr="004357B0" w:rsidRDefault="004357B0" w:rsidP="004357B0">
      <w:pPr>
        <w:pStyle w:val="Corpodetexto"/>
        <w:rPr>
          <w:rFonts w:cs="Times New Roman"/>
        </w:rPr>
      </w:pPr>
    </w:p>
    <w:p w14:paraId="5A295382" w14:textId="6969CE25" w:rsidR="0019023C" w:rsidRPr="00614C3A" w:rsidRDefault="008719CE" w:rsidP="0019023C">
      <w:pPr>
        <w:pStyle w:val="SUBTITULO"/>
        <w:rPr>
          <w:rStyle w:val="EstilodelistaimportadadoWord4EstilosparalistasimportadasdoWordRTF"/>
          <w:b/>
          <w:bCs w:val="0"/>
        </w:rPr>
      </w:pPr>
      <w:r>
        <w:rPr>
          <w:rStyle w:val="EstilodelistaimportadadoWord4EstilosparalistasimportadasdoWordRTF"/>
          <w:b/>
        </w:rPr>
        <w:t>2. Overview of the Brazilian Electricity Sector</w:t>
      </w:r>
    </w:p>
    <w:p w14:paraId="0CA5BD31" w14:textId="4D57AA03" w:rsidR="00FA7F54" w:rsidRDefault="00FA7F54" w:rsidP="001772E7">
      <w:pPr>
        <w:tabs>
          <w:tab w:val="center" w:pos="4800"/>
          <w:tab w:val="right" w:pos="9500"/>
        </w:tabs>
        <w:spacing w:after="0" w:line="260" w:lineRule="atLeast"/>
        <w:rPr>
          <w:rFonts w:ascii="Times New Roman" w:hAnsi="Times New Roman"/>
          <w:b/>
        </w:rPr>
      </w:pPr>
    </w:p>
    <w:p w14:paraId="2E728115" w14:textId="4EBDAA8A" w:rsidR="005A03BB" w:rsidRPr="002F434D" w:rsidRDefault="00FA7F54" w:rsidP="005A03BB">
      <w:pPr>
        <w:pStyle w:val="Corpodetexto"/>
      </w:pPr>
      <w:r>
        <w:tab/>
        <w:t>In Brazil, the Energy Research Company (</w:t>
      </w:r>
      <w:r w:rsidRPr="00904C02">
        <w:rPr>
          <w:i/>
          <w:iCs/>
        </w:rPr>
        <w:t>Empresa de Pesquisa Energética</w:t>
      </w:r>
      <w:r>
        <w:t xml:space="preserve"> - EPE) projects that electricity demand will increase by 31.3% between 2019 and 2026 </w:t>
      </w:r>
      <w:r w:rsidR="005A03BB" w:rsidRPr="002252AD">
        <w:fldChar w:fldCharType="begin"/>
      </w:r>
      <w:r w:rsidR="005A03BB">
        <w:instrText xml:space="preserve"> ADDIN ZOTERO_ITEM CSL_CITATION {"citationID":"mc3O1D7L","properties":{"formattedCitation":"(BRASIL, 2017)","plainCitation":"(BRASIL, 2017)","noteIndex":0},"citationItems":[{"id":67,"uris":["http://zotero.org/users/8767809/items/J4SW6Y5Q",["http://zotero.org/users/8767809/items/J4SW6Y5Q"]],"itemData":{"id":67,"type":"document","publisher":"Ministério de Minas e Energia","title":"Nota Técnica DEA 001/17 - Estudos da Demanda","URL":"https://www.epe.gov.br/sites-pt/publicacoes-dados-abertos/publicacoes/PublicacoesArquivos/publicacao-245/topico-261/DEA%20001_2017%20-%20Proje%C3%A7%C3%B5es%20da%20Demanda%20de%20Energia%20El%C3%A9trica%202017-2026_VF%5B1%5D.pdf","author":[{"family":"Brasil","given":""}],"accessed":{"date-parts":[["2021",12,13]]},"issued":{"date-parts":[["2017"]]}}}],"schema":"https://github.com/citation-style-language/schema/raw/master/csl-citation.json"} </w:instrText>
      </w:r>
      <w:r w:rsidR="005A03BB" w:rsidRPr="002252AD">
        <w:fldChar w:fldCharType="separate"/>
      </w:r>
      <w:r w:rsidR="005A03BB" w:rsidRPr="002252AD">
        <w:t>(</w:t>
      </w:r>
      <w:r w:rsidR="001A159C">
        <w:t>Brazil</w:t>
      </w:r>
      <w:r w:rsidR="005A03BB" w:rsidRPr="002252AD">
        <w:t>, 2017)</w:t>
      </w:r>
      <w:r w:rsidR="005A03BB" w:rsidRPr="002252AD">
        <w:fldChar w:fldCharType="end"/>
      </w:r>
      <w:r>
        <w:t xml:space="preserve">, from just under 500 terawatt-hours (TWh) to over 653 TWh. Following the trend of the 2010s, the </w:t>
      </w:r>
      <w:r w:rsidRPr="00E87ED3">
        <w:rPr>
          <w:iCs/>
        </w:rPr>
        <w:t>rural and commercial classes should be the main channels for increased consumption, while the industrial category</w:t>
      </w:r>
      <w:r>
        <w:t xml:space="preserve"> will see the smallest growth </w:t>
      </w:r>
      <w:r w:rsidR="005A03BB" w:rsidRPr="002252AD">
        <w:fldChar w:fldCharType="begin"/>
      </w:r>
      <w:r w:rsidR="005A03BB">
        <w:instrText xml:space="preserve"> ADDIN ZOTERO_ITEM CSL_CITATION {"citationID":"INQgduHZ","properties":{"formattedCitation":"(BRASIL, 2021)","plainCitation":"(BRASIL, 2021)","noteIndex":0},"citationItems":[{"id":9,"uris":["http://zotero.org/users/8767809/items/F54QHKBL",["http://zotero.org/users/8767809/items/F54QHKBL"]],"itemData":{"id":9,"type":"document","publisher":"Ministério de Minas e Energia","title":"Anuário Estatístico de Energia Elétrica 2021 - ano base 2020","URL":"https://www.epe.gov.br/pt/publicacoes-dados-abertos/publicacoes/anuario-estatistico-de-energia-eletrica","author":[{"family":"Brasil","given":""}],"accessed":{"date-parts":[["2021",10,7]]},"issued":{"date-parts":[["2021"]]}}}],"schema":"https://github.com/citation-style-language/schema/raw/master/csl-citation.json"} </w:instrText>
      </w:r>
      <w:r w:rsidR="005A03BB" w:rsidRPr="002252AD">
        <w:fldChar w:fldCharType="separate"/>
      </w:r>
      <w:r w:rsidR="005A03BB" w:rsidRPr="002252AD">
        <w:t>(</w:t>
      </w:r>
      <w:r w:rsidR="001A159C">
        <w:t>Brazil</w:t>
      </w:r>
      <w:r w:rsidR="005A03BB" w:rsidRPr="002252AD">
        <w:t>, 2021)</w:t>
      </w:r>
      <w:r w:rsidR="005A03BB" w:rsidRPr="002252AD">
        <w:fldChar w:fldCharType="end"/>
      </w:r>
      <w:r>
        <w:t>.</w:t>
      </w:r>
    </w:p>
    <w:p w14:paraId="352C7200" w14:textId="107E954E" w:rsidR="00536BC2" w:rsidRDefault="005A03BB" w:rsidP="005A03BB">
      <w:pPr>
        <w:pStyle w:val="CORPO"/>
        <w:spacing w:line="240" w:lineRule="auto"/>
        <w:rPr>
          <w:rStyle w:val="CorpodetextoChar"/>
        </w:rPr>
      </w:pPr>
      <w:r>
        <w:rPr>
          <w:rFonts w:ascii="Times New Roman" w:hAnsi="Times New Roman"/>
        </w:rPr>
        <w:t xml:space="preserve">To </w:t>
      </w:r>
      <w:r>
        <w:rPr>
          <w:rStyle w:val="CorpodetextoChar"/>
        </w:rPr>
        <w:t xml:space="preserve">meet this demand and avoid negative impacts on economic activity, the country must have a robust, diversified and renewable generation capacity. It is well known that Brazil is not only one of the main producers of </w:t>
      </w:r>
      <w:r w:rsidR="00E87ED3">
        <w:rPr>
          <w:rStyle w:val="CorpodetextoChar"/>
        </w:rPr>
        <w:t>electricity</w:t>
      </w:r>
      <w:r w:rsidR="009F2864">
        <w:rPr>
          <w:rStyle w:val="CorpodetextoChar"/>
        </w:rPr>
        <w:t>,</w:t>
      </w:r>
      <w:r w:rsidR="00E87ED3">
        <w:rPr>
          <w:rStyle w:val="CorpodetextoChar"/>
        </w:rPr>
        <w:t xml:space="preserve"> but</w:t>
      </w:r>
      <w:r>
        <w:rPr>
          <w:rStyle w:val="CorpodetextoChar"/>
        </w:rPr>
        <w:t xml:space="preserve"> also uses a quantity of renewable sources above the world average, as can be seen in Table 1</w:t>
      </w:r>
      <w:r w:rsidR="000B22B5">
        <w:rPr>
          <w:rStyle w:val="CorpodetextoChar"/>
        </w:rPr>
        <w:t>.</w:t>
      </w:r>
    </w:p>
    <w:p w14:paraId="4388998C" w14:textId="77777777" w:rsidR="009D5DD0" w:rsidRDefault="009D5DD0" w:rsidP="005A03BB">
      <w:pPr>
        <w:pStyle w:val="CORPO"/>
        <w:spacing w:line="240" w:lineRule="auto"/>
        <w:rPr>
          <w:rStyle w:val="CorpodetextoChar"/>
        </w:rPr>
      </w:pPr>
    </w:p>
    <w:p w14:paraId="55E726EA" w14:textId="505FEE3F" w:rsidR="009D5DD0" w:rsidRPr="00824AB2" w:rsidRDefault="009D5DD0" w:rsidP="009D5DD0">
      <w:pPr>
        <w:pStyle w:val="Tabela"/>
        <w:rPr>
          <w:sz w:val="21"/>
          <w:szCs w:val="21"/>
        </w:rPr>
      </w:pPr>
      <w:r w:rsidRPr="00824AB2">
        <w:rPr>
          <w:sz w:val="21"/>
          <w:szCs w:val="21"/>
        </w:rPr>
        <w:t xml:space="preserve">Table 1: Comparison of electrical matrices – Brazil and World </w:t>
      </w:r>
      <w:r w:rsidRPr="00824AB2">
        <w:rPr>
          <w:sz w:val="20"/>
          <w:szCs w:val="19"/>
        </w:rPr>
        <w:t>(% of the respective total)</w:t>
      </w:r>
    </w:p>
    <w:tbl>
      <w:tblPr>
        <w:tblW w:w="5000" w:type="pct"/>
        <w:tblLayout w:type="fixed"/>
        <w:tblCellMar>
          <w:left w:w="70" w:type="dxa"/>
          <w:right w:w="70" w:type="dxa"/>
        </w:tblCellMar>
        <w:tblLook w:val="04A0" w:firstRow="1" w:lastRow="0" w:firstColumn="1" w:lastColumn="0" w:noHBand="0" w:noVBand="1"/>
      </w:tblPr>
      <w:tblGrid>
        <w:gridCol w:w="595"/>
        <w:gridCol w:w="578"/>
        <w:gridCol w:w="646"/>
        <w:gridCol w:w="578"/>
        <w:gridCol w:w="646"/>
        <w:gridCol w:w="578"/>
        <w:gridCol w:w="646"/>
        <w:gridCol w:w="578"/>
        <w:gridCol w:w="646"/>
        <w:gridCol w:w="578"/>
        <w:gridCol w:w="646"/>
        <w:gridCol w:w="578"/>
        <w:gridCol w:w="645"/>
      </w:tblGrid>
      <w:tr w:rsidR="009D5DD0" w:rsidRPr="002252AD" w14:paraId="5CC44CFB" w14:textId="77777777" w:rsidTr="00775F8E">
        <w:trPr>
          <w:trHeight w:val="452"/>
        </w:trPr>
        <w:tc>
          <w:tcPr>
            <w:tcW w:w="374" w:type="pct"/>
            <w:vMerge w:val="restart"/>
            <w:tcBorders>
              <w:top w:val="double" w:sz="6" w:space="0" w:color="auto"/>
              <w:left w:val="nil"/>
              <w:bottom w:val="single" w:sz="4" w:space="0" w:color="000000"/>
              <w:right w:val="single" w:sz="4" w:space="0" w:color="auto"/>
            </w:tcBorders>
            <w:shd w:val="clear" w:color="auto" w:fill="auto"/>
            <w:noWrap/>
            <w:vAlign w:val="bottom"/>
            <w:hideMark/>
          </w:tcPr>
          <w:p w14:paraId="1FCCCF7A" w14:textId="77777777" w:rsidR="009D5DD0" w:rsidRPr="00885E85" w:rsidRDefault="009D5DD0" w:rsidP="00385866">
            <w:pPr>
              <w:jc w:val="center"/>
              <w:rPr>
                <w:rFonts w:ascii="Times New Roman" w:hAnsi="Times New Roman"/>
                <w:color w:val="000000"/>
                <w:sz w:val="18"/>
                <w:szCs w:val="18"/>
              </w:rPr>
            </w:pPr>
            <w:r>
              <w:rPr>
                <w:rFonts w:ascii="Times New Roman" w:hAnsi="Times New Roman"/>
                <w:color w:val="000000"/>
                <w:sz w:val="18"/>
              </w:rPr>
              <w:t> </w:t>
            </w:r>
          </w:p>
        </w:tc>
        <w:tc>
          <w:tcPr>
            <w:tcW w:w="770" w:type="pct"/>
            <w:gridSpan w:val="2"/>
            <w:tcBorders>
              <w:top w:val="double" w:sz="6" w:space="0" w:color="auto"/>
              <w:left w:val="nil"/>
              <w:bottom w:val="nil"/>
              <w:right w:val="single" w:sz="4" w:space="0" w:color="000000"/>
            </w:tcBorders>
            <w:shd w:val="clear" w:color="auto" w:fill="auto"/>
            <w:noWrap/>
            <w:vAlign w:val="center"/>
            <w:hideMark/>
          </w:tcPr>
          <w:p w14:paraId="0F404773" w14:textId="03255DEC" w:rsidR="009D5DD0" w:rsidRPr="00885E85" w:rsidRDefault="000141DD" w:rsidP="00385866">
            <w:pPr>
              <w:jc w:val="center"/>
              <w:rPr>
                <w:rFonts w:ascii="Times New Roman" w:hAnsi="Times New Roman"/>
                <w:b/>
                <w:bCs/>
                <w:color w:val="000000"/>
                <w:sz w:val="20"/>
                <w:szCs w:val="20"/>
              </w:rPr>
            </w:pPr>
            <w:r>
              <w:rPr>
                <w:rFonts w:ascii="Times New Roman" w:hAnsi="Times New Roman"/>
                <w:b/>
                <w:color w:val="000000"/>
                <w:sz w:val="20"/>
              </w:rPr>
              <w:t>Hydro-electric</w:t>
            </w:r>
          </w:p>
        </w:tc>
        <w:tc>
          <w:tcPr>
            <w:tcW w:w="771" w:type="pct"/>
            <w:gridSpan w:val="2"/>
            <w:tcBorders>
              <w:top w:val="double" w:sz="6" w:space="0" w:color="auto"/>
              <w:left w:val="nil"/>
              <w:bottom w:val="nil"/>
              <w:right w:val="single" w:sz="4" w:space="0" w:color="000000"/>
            </w:tcBorders>
            <w:shd w:val="clear" w:color="auto" w:fill="auto"/>
            <w:noWrap/>
            <w:vAlign w:val="center"/>
            <w:hideMark/>
          </w:tcPr>
          <w:p w14:paraId="3001CF3C" w14:textId="77777777" w:rsidR="009D5DD0" w:rsidRPr="00885E85" w:rsidRDefault="009D5DD0" w:rsidP="00385866">
            <w:pPr>
              <w:jc w:val="center"/>
              <w:rPr>
                <w:rFonts w:ascii="Times New Roman" w:hAnsi="Times New Roman"/>
                <w:b/>
                <w:bCs/>
                <w:color w:val="000000"/>
                <w:sz w:val="20"/>
                <w:szCs w:val="20"/>
              </w:rPr>
            </w:pPr>
            <w:r>
              <w:rPr>
                <w:rFonts w:ascii="Times New Roman" w:hAnsi="Times New Roman"/>
                <w:b/>
                <w:color w:val="000000"/>
                <w:sz w:val="20"/>
              </w:rPr>
              <w:t>Biomass</w:t>
            </w:r>
          </w:p>
        </w:tc>
        <w:tc>
          <w:tcPr>
            <w:tcW w:w="771" w:type="pct"/>
            <w:gridSpan w:val="2"/>
            <w:tcBorders>
              <w:top w:val="double" w:sz="6" w:space="0" w:color="auto"/>
              <w:left w:val="nil"/>
              <w:bottom w:val="nil"/>
              <w:right w:val="single" w:sz="4" w:space="0" w:color="000000"/>
            </w:tcBorders>
            <w:shd w:val="clear" w:color="auto" w:fill="auto"/>
            <w:noWrap/>
            <w:vAlign w:val="center"/>
            <w:hideMark/>
          </w:tcPr>
          <w:p w14:paraId="5077FD13" w14:textId="77777777" w:rsidR="009D5DD0" w:rsidRPr="00885E85" w:rsidRDefault="009D5DD0" w:rsidP="00385866">
            <w:pPr>
              <w:jc w:val="center"/>
              <w:rPr>
                <w:rFonts w:ascii="Times New Roman" w:hAnsi="Times New Roman"/>
                <w:b/>
                <w:bCs/>
                <w:color w:val="000000"/>
                <w:sz w:val="20"/>
                <w:szCs w:val="20"/>
              </w:rPr>
            </w:pPr>
            <w:r>
              <w:rPr>
                <w:rFonts w:ascii="Times New Roman" w:hAnsi="Times New Roman"/>
                <w:b/>
                <w:color w:val="000000"/>
                <w:sz w:val="20"/>
              </w:rPr>
              <w:t>Wind</w:t>
            </w:r>
          </w:p>
        </w:tc>
        <w:tc>
          <w:tcPr>
            <w:tcW w:w="771" w:type="pct"/>
            <w:gridSpan w:val="2"/>
            <w:tcBorders>
              <w:top w:val="double" w:sz="6" w:space="0" w:color="auto"/>
              <w:left w:val="nil"/>
              <w:bottom w:val="nil"/>
              <w:right w:val="single" w:sz="4" w:space="0" w:color="000000"/>
            </w:tcBorders>
            <w:shd w:val="clear" w:color="auto" w:fill="auto"/>
            <w:noWrap/>
            <w:vAlign w:val="center"/>
            <w:hideMark/>
          </w:tcPr>
          <w:p w14:paraId="2634984C" w14:textId="77777777" w:rsidR="009D5DD0" w:rsidRPr="00885E85" w:rsidRDefault="009D5DD0" w:rsidP="00385866">
            <w:pPr>
              <w:jc w:val="center"/>
              <w:rPr>
                <w:rFonts w:ascii="Times New Roman" w:hAnsi="Times New Roman"/>
                <w:b/>
                <w:bCs/>
                <w:color w:val="000000"/>
                <w:sz w:val="20"/>
                <w:szCs w:val="20"/>
              </w:rPr>
            </w:pPr>
            <w:r>
              <w:rPr>
                <w:rFonts w:ascii="Times New Roman" w:hAnsi="Times New Roman"/>
                <w:b/>
                <w:color w:val="000000"/>
                <w:sz w:val="20"/>
              </w:rPr>
              <w:t>Solar</w:t>
            </w:r>
          </w:p>
        </w:tc>
        <w:tc>
          <w:tcPr>
            <w:tcW w:w="771" w:type="pct"/>
            <w:gridSpan w:val="2"/>
            <w:tcBorders>
              <w:top w:val="double" w:sz="6" w:space="0" w:color="auto"/>
              <w:left w:val="nil"/>
              <w:bottom w:val="nil"/>
              <w:right w:val="single" w:sz="4" w:space="0" w:color="000000"/>
            </w:tcBorders>
            <w:shd w:val="clear" w:color="auto" w:fill="auto"/>
            <w:vAlign w:val="center"/>
            <w:hideMark/>
          </w:tcPr>
          <w:p w14:paraId="4AC35FA5" w14:textId="0D3E703F" w:rsidR="009D5DD0" w:rsidRPr="00885E85" w:rsidRDefault="009D5DD0" w:rsidP="00385866">
            <w:pPr>
              <w:jc w:val="center"/>
              <w:rPr>
                <w:rFonts w:ascii="Times New Roman" w:hAnsi="Times New Roman"/>
                <w:b/>
                <w:bCs/>
                <w:color w:val="000000"/>
                <w:sz w:val="20"/>
                <w:szCs w:val="20"/>
              </w:rPr>
            </w:pPr>
            <w:r>
              <w:rPr>
                <w:rFonts w:ascii="Times New Roman" w:hAnsi="Times New Roman"/>
                <w:b/>
                <w:color w:val="000000"/>
                <w:sz w:val="20"/>
              </w:rPr>
              <w:t xml:space="preserve">Total </w:t>
            </w:r>
            <w:r w:rsidR="000141DD">
              <w:rPr>
                <w:rFonts w:ascii="Times New Roman" w:hAnsi="Times New Roman"/>
                <w:b/>
                <w:color w:val="000000"/>
                <w:sz w:val="20"/>
              </w:rPr>
              <w:t>R</w:t>
            </w:r>
            <w:r>
              <w:rPr>
                <w:rFonts w:ascii="Times New Roman" w:hAnsi="Times New Roman"/>
                <w:b/>
                <w:color w:val="000000"/>
                <w:sz w:val="20"/>
              </w:rPr>
              <w:t>enewable</w:t>
            </w:r>
          </w:p>
        </w:tc>
        <w:tc>
          <w:tcPr>
            <w:tcW w:w="770" w:type="pct"/>
            <w:gridSpan w:val="2"/>
            <w:tcBorders>
              <w:top w:val="double" w:sz="6" w:space="0" w:color="auto"/>
              <w:left w:val="single" w:sz="4" w:space="0" w:color="auto"/>
              <w:bottom w:val="single" w:sz="4" w:space="0" w:color="auto"/>
            </w:tcBorders>
            <w:shd w:val="clear" w:color="auto" w:fill="auto"/>
            <w:vAlign w:val="center"/>
            <w:hideMark/>
          </w:tcPr>
          <w:p w14:paraId="44391415" w14:textId="4A25661A" w:rsidR="009D5DD0" w:rsidRPr="00885E85" w:rsidRDefault="009D5DD0" w:rsidP="00385866">
            <w:pPr>
              <w:jc w:val="center"/>
              <w:rPr>
                <w:rFonts w:ascii="Times New Roman" w:hAnsi="Times New Roman"/>
                <w:b/>
                <w:bCs/>
                <w:color w:val="000000"/>
                <w:sz w:val="20"/>
                <w:szCs w:val="20"/>
              </w:rPr>
            </w:pPr>
            <w:r>
              <w:rPr>
                <w:rFonts w:ascii="Times New Roman" w:hAnsi="Times New Roman"/>
                <w:b/>
                <w:color w:val="000000"/>
                <w:sz w:val="20"/>
              </w:rPr>
              <w:t>Non-</w:t>
            </w:r>
            <w:r w:rsidR="000141DD">
              <w:rPr>
                <w:rFonts w:ascii="Times New Roman" w:hAnsi="Times New Roman"/>
                <w:b/>
                <w:color w:val="000000"/>
                <w:sz w:val="20"/>
              </w:rPr>
              <w:t>R</w:t>
            </w:r>
            <w:r>
              <w:rPr>
                <w:rFonts w:ascii="Times New Roman" w:hAnsi="Times New Roman"/>
                <w:b/>
                <w:color w:val="000000"/>
                <w:sz w:val="20"/>
              </w:rPr>
              <w:t>enewable</w:t>
            </w:r>
          </w:p>
        </w:tc>
      </w:tr>
      <w:tr w:rsidR="009D5DD0" w:rsidRPr="002252AD" w14:paraId="5AB56D31" w14:textId="77777777" w:rsidTr="00775F8E">
        <w:trPr>
          <w:trHeight w:val="320"/>
        </w:trPr>
        <w:tc>
          <w:tcPr>
            <w:tcW w:w="374" w:type="pct"/>
            <w:vMerge/>
            <w:tcBorders>
              <w:top w:val="double" w:sz="6" w:space="0" w:color="auto"/>
              <w:left w:val="nil"/>
              <w:bottom w:val="single" w:sz="4" w:space="0" w:color="000000"/>
              <w:right w:val="single" w:sz="4" w:space="0" w:color="auto"/>
            </w:tcBorders>
            <w:vAlign w:val="center"/>
            <w:hideMark/>
          </w:tcPr>
          <w:p w14:paraId="71CA33D7" w14:textId="77777777" w:rsidR="009D5DD0" w:rsidRPr="00885E85" w:rsidRDefault="009D5DD0" w:rsidP="00385866">
            <w:pPr>
              <w:rPr>
                <w:rFonts w:ascii="Times New Roman" w:hAnsi="Times New Roman"/>
                <w:color w:val="000000"/>
                <w:sz w:val="18"/>
                <w:szCs w:val="18"/>
              </w:rPr>
            </w:pPr>
          </w:p>
        </w:tc>
        <w:tc>
          <w:tcPr>
            <w:tcW w:w="364" w:type="pct"/>
            <w:tcBorders>
              <w:top w:val="single" w:sz="4" w:space="0" w:color="auto"/>
              <w:left w:val="nil"/>
              <w:bottom w:val="single" w:sz="4" w:space="0" w:color="auto"/>
              <w:right w:val="single" w:sz="4" w:space="0" w:color="auto"/>
            </w:tcBorders>
            <w:shd w:val="clear" w:color="auto" w:fill="auto"/>
            <w:noWrap/>
            <w:vAlign w:val="center"/>
            <w:hideMark/>
          </w:tcPr>
          <w:p w14:paraId="7533A634" w14:textId="77777777" w:rsidR="009D5DD0" w:rsidRPr="00885E85" w:rsidRDefault="009D5DD0" w:rsidP="00385866">
            <w:pPr>
              <w:jc w:val="center"/>
              <w:rPr>
                <w:rFonts w:ascii="Times New Roman" w:hAnsi="Times New Roman"/>
                <w:i/>
                <w:iCs/>
                <w:color w:val="000000"/>
                <w:sz w:val="17"/>
                <w:szCs w:val="17"/>
              </w:rPr>
            </w:pPr>
            <w:r>
              <w:rPr>
                <w:rFonts w:ascii="Times New Roman" w:hAnsi="Times New Roman"/>
                <w:i/>
                <w:color w:val="000000"/>
                <w:sz w:val="17"/>
              </w:rPr>
              <w:t>Brazil</w:t>
            </w:r>
          </w:p>
        </w:tc>
        <w:tc>
          <w:tcPr>
            <w:tcW w:w="407" w:type="pct"/>
            <w:tcBorders>
              <w:top w:val="single" w:sz="4" w:space="0" w:color="auto"/>
              <w:left w:val="nil"/>
              <w:bottom w:val="single" w:sz="4" w:space="0" w:color="auto"/>
              <w:right w:val="single" w:sz="4" w:space="0" w:color="auto"/>
            </w:tcBorders>
            <w:shd w:val="clear" w:color="auto" w:fill="auto"/>
            <w:noWrap/>
            <w:vAlign w:val="center"/>
            <w:hideMark/>
          </w:tcPr>
          <w:p w14:paraId="597C16B2" w14:textId="77777777" w:rsidR="009D5DD0" w:rsidRPr="00885E85" w:rsidRDefault="009D5DD0" w:rsidP="00385866">
            <w:pPr>
              <w:jc w:val="center"/>
              <w:rPr>
                <w:rFonts w:ascii="Times New Roman" w:hAnsi="Times New Roman"/>
                <w:i/>
                <w:iCs/>
                <w:color w:val="000000"/>
                <w:sz w:val="17"/>
                <w:szCs w:val="17"/>
              </w:rPr>
            </w:pPr>
            <w:r>
              <w:rPr>
                <w:rFonts w:ascii="Times New Roman" w:hAnsi="Times New Roman"/>
                <w:i/>
                <w:color w:val="000000"/>
                <w:sz w:val="17"/>
              </w:rPr>
              <w:t>World</w:t>
            </w:r>
          </w:p>
        </w:tc>
        <w:tc>
          <w:tcPr>
            <w:tcW w:w="364" w:type="pct"/>
            <w:tcBorders>
              <w:top w:val="single" w:sz="4" w:space="0" w:color="auto"/>
              <w:left w:val="nil"/>
              <w:bottom w:val="single" w:sz="4" w:space="0" w:color="auto"/>
              <w:right w:val="single" w:sz="4" w:space="0" w:color="auto"/>
            </w:tcBorders>
            <w:shd w:val="clear" w:color="auto" w:fill="auto"/>
            <w:noWrap/>
            <w:vAlign w:val="center"/>
            <w:hideMark/>
          </w:tcPr>
          <w:p w14:paraId="087F839C" w14:textId="77777777" w:rsidR="009D5DD0" w:rsidRPr="00885E85" w:rsidRDefault="009D5DD0" w:rsidP="00385866">
            <w:pPr>
              <w:jc w:val="center"/>
              <w:rPr>
                <w:rFonts w:ascii="Times New Roman" w:hAnsi="Times New Roman"/>
                <w:i/>
                <w:iCs/>
                <w:color w:val="000000"/>
                <w:sz w:val="17"/>
                <w:szCs w:val="17"/>
              </w:rPr>
            </w:pPr>
            <w:r>
              <w:rPr>
                <w:rFonts w:ascii="Times New Roman" w:hAnsi="Times New Roman"/>
                <w:i/>
                <w:color w:val="000000"/>
                <w:sz w:val="17"/>
              </w:rPr>
              <w:t>Brazil</w:t>
            </w:r>
          </w:p>
        </w:tc>
        <w:tc>
          <w:tcPr>
            <w:tcW w:w="407" w:type="pct"/>
            <w:tcBorders>
              <w:top w:val="single" w:sz="4" w:space="0" w:color="auto"/>
              <w:left w:val="nil"/>
              <w:bottom w:val="single" w:sz="4" w:space="0" w:color="auto"/>
              <w:right w:val="single" w:sz="4" w:space="0" w:color="auto"/>
            </w:tcBorders>
            <w:shd w:val="clear" w:color="auto" w:fill="auto"/>
            <w:noWrap/>
            <w:vAlign w:val="center"/>
            <w:hideMark/>
          </w:tcPr>
          <w:p w14:paraId="1EE89C17" w14:textId="77777777" w:rsidR="009D5DD0" w:rsidRPr="00885E85" w:rsidRDefault="009D5DD0" w:rsidP="00385866">
            <w:pPr>
              <w:jc w:val="center"/>
              <w:rPr>
                <w:rFonts w:ascii="Times New Roman" w:hAnsi="Times New Roman"/>
                <w:i/>
                <w:iCs/>
                <w:color w:val="000000"/>
                <w:sz w:val="17"/>
                <w:szCs w:val="17"/>
              </w:rPr>
            </w:pPr>
            <w:r>
              <w:rPr>
                <w:rFonts w:ascii="Times New Roman" w:hAnsi="Times New Roman"/>
                <w:i/>
                <w:color w:val="000000"/>
                <w:sz w:val="17"/>
              </w:rPr>
              <w:t>World</w:t>
            </w:r>
          </w:p>
        </w:tc>
        <w:tc>
          <w:tcPr>
            <w:tcW w:w="364" w:type="pct"/>
            <w:tcBorders>
              <w:top w:val="single" w:sz="4" w:space="0" w:color="auto"/>
              <w:left w:val="nil"/>
              <w:bottom w:val="single" w:sz="4" w:space="0" w:color="auto"/>
              <w:right w:val="single" w:sz="4" w:space="0" w:color="auto"/>
            </w:tcBorders>
            <w:shd w:val="clear" w:color="auto" w:fill="auto"/>
            <w:noWrap/>
            <w:vAlign w:val="center"/>
            <w:hideMark/>
          </w:tcPr>
          <w:p w14:paraId="5CB8DC78" w14:textId="77777777" w:rsidR="009D5DD0" w:rsidRPr="00885E85" w:rsidRDefault="009D5DD0" w:rsidP="00385866">
            <w:pPr>
              <w:jc w:val="center"/>
              <w:rPr>
                <w:rFonts w:ascii="Times New Roman" w:hAnsi="Times New Roman"/>
                <w:i/>
                <w:iCs/>
                <w:color w:val="000000"/>
                <w:sz w:val="17"/>
                <w:szCs w:val="17"/>
              </w:rPr>
            </w:pPr>
            <w:r>
              <w:rPr>
                <w:rFonts w:ascii="Times New Roman" w:hAnsi="Times New Roman"/>
                <w:i/>
                <w:color w:val="000000"/>
                <w:sz w:val="17"/>
              </w:rPr>
              <w:t>Brazil</w:t>
            </w:r>
          </w:p>
        </w:tc>
        <w:tc>
          <w:tcPr>
            <w:tcW w:w="407" w:type="pct"/>
            <w:tcBorders>
              <w:top w:val="single" w:sz="4" w:space="0" w:color="auto"/>
              <w:left w:val="nil"/>
              <w:bottom w:val="single" w:sz="4" w:space="0" w:color="auto"/>
              <w:right w:val="single" w:sz="4" w:space="0" w:color="auto"/>
            </w:tcBorders>
            <w:shd w:val="clear" w:color="auto" w:fill="auto"/>
            <w:noWrap/>
            <w:vAlign w:val="center"/>
            <w:hideMark/>
          </w:tcPr>
          <w:p w14:paraId="3AEED7B0" w14:textId="77777777" w:rsidR="009D5DD0" w:rsidRPr="00885E85" w:rsidRDefault="009D5DD0" w:rsidP="00385866">
            <w:pPr>
              <w:jc w:val="center"/>
              <w:rPr>
                <w:rFonts w:ascii="Times New Roman" w:hAnsi="Times New Roman"/>
                <w:i/>
                <w:iCs/>
                <w:color w:val="000000"/>
                <w:sz w:val="17"/>
                <w:szCs w:val="17"/>
              </w:rPr>
            </w:pPr>
            <w:r>
              <w:rPr>
                <w:rFonts w:ascii="Times New Roman" w:hAnsi="Times New Roman"/>
                <w:i/>
                <w:color w:val="000000"/>
                <w:sz w:val="17"/>
              </w:rPr>
              <w:t>World</w:t>
            </w:r>
          </w:p>
        </w:tc>
        <w:tc>
          <w:tcPr>
            <w:tcW w:w="364" w:type="pct"/>
            <w:tcBorders>
              <w:top w:val="single" w:sz="4" w:space="0" w:color="auto"/>
              <w:left w:val="nil"/>
              <w:bottom w:val="single" w:sz="4" w:space="0" w:color="auto"/>
              <w:right w:val="single" w:sz="4" w:space="0" w:color="auto"/>
            </w:tcBorders>
            <w:shd w:val="clear" w:color="auto" w:fill="auto"/>
            <w:noWrap/>
            <w:vAlign w:val="center"/>
            <w:hideMark/>
          </w:tcPr>
          <w:p w14:paraId="77D54A95" w14:textId="77777777" w:rsidR="009D5DD0" w:rsidRPr="00885E85" w:rsidRDefault="009D5DD0" w:rsidP="00385866">
            <w:pPr>
              <w:jc w:val="center"/>
              <w:rPr>
                <w:rFonts w:ascii="Times New Roman" w:hAnsi="Times New Roman"/>
                <w:i/>
                <w:iCs/>
                <w:color w:val="000000"/>
                <w:sz w:val="17"/>
                <w:szCs w:val="17"/>
              </w:rPr>
            </w:pPr>
            <w:r>
              <w:rPr>
                <w:rFonts w:ascii="Times New Roman" w:hAnsi="Times New Roman"/>
                <w:i/>
                <w:color w:val="000000"/>
                <w:sz w:val="17"/>
              </w:rPr>
              <w:t>Brazil</w:t>
            </w:r>
          </w:p>
        </w:tc>
        <w:tc>
          <w:tcPr>
            <w:tcW w:w="407" w:type="pct"/>
            <w:tcBorders>
              <w:top w:val="single" w:sz="4" w:space="0" w:color="auto"/>
              <w:left w:val="nil"/>
              <w:bottom w:val="single" w:sz="4" w:space="0" w:color="auto"/>
              <w:right w:val="single" w:sz="4" w:space="0" w:color="auto"/>
            </w:tcBorders>
            <w:shd w:val="clear" w:color="auto" w:fill="auto"/>
            <w:noWrap/>
            <w:vAlign w:val="center"/>
            <w:hideMark/>
          </w:tcPr>
          <w:p w14:paraId="4C9B398D" w14:textId="77777777" w:rsidR="009D5DD0" w:rsidRPr="00885E85" w:rsidRDefault="009D5DD0" w:rsidP="00385866">
            <w:pPr>
              <w:jc w:val="center"/>
              <w:rPr>
                <w:rFonts w:ascii="Times New Roman" w:hAnsi="Times New Roman"/>
                <w:i/>
                <w:iCs/>
                <w:color w:val="000000"/>
                <w:sz w:val="17"/>
                <w:szCs w:val="17"/>
              </w:rPr>
            </w:pPr>
            <w:r>
              <w:rPr>
                <w:rFonts w:ascii="Times New Roman" w:hAnsi="Times New Roman"/>
                <w:i/>
                <w:color w:val="000000"/>
                <w:sz w:val="17"/>
              </w:rPr>
              <w:t>World</w:t>
            </w:r>
          </w:p>
        </w:tc>
        <w:tc>
          <w:tcPr>
            <w:tcW w:w="364" w:type="pct"/>
            <w:tcBorders>
              <w:top w:val="single" w:sz="4" w:space="0" w:color="auto"/>
              <w:left w:val="nil"/>
              <w:bottom w:val="single" w:sz="4" w:space="0" w:color="auto"/>
              <w:right w:val="single" w:sz="4" w:space="0" w:color="auto"/>
            </w:tcBorders>
            <w:shd w:val="clear" w:color="auto" w:fill="auto"/>
            <w:noWrap/>
            <w:vAlign w:val="center"/>
            <w:hideMark/>
          </w:tcPr>
          <w:p w14:paraId="79FBC723" w14:textId="77777777" w:rsidR="009D5DD0" w:rsidRPr="00885E85" w:rsidRDefault="009D5DD0" w:rsidP="00385866">
            <w:pPr>
              <w:jc w:val="center"/>
              <w:rPr>
                <w:rFonts w:ascii="Times New Roman" w:hAnsi="Times New Roman"/>
                <w:i/>
                <w:iCs/>
                <w:color w:val="000000"/>
                <w:sz w:val="17"/>
                <w:szCs w:val="17"/>
              </w:rPr>
            </w:pPr>
            <w:r>
              <w:rPr>
                <w:rFonts w:ascii="Times New Roman" w:hAnsi="Times New Roman"/>
                <w:i/>
                <w:color w:val="000000"/>
                <w:sz w:val="17"/>
              </w:rPr>
              <w:t>Brazil</w:t>
            </w:r>
          </w:p>
        </w:tc>
        <w:tc>
          <w:tcPr>
            <w:tcW w:w="407" w:type="pct"/>
            <w:tcBorders>
              <w:top w:val="single" w:sz="4" w:space="0" w:color="auto"/>
              <w:left w:val="nil"/>
              <w:bottom w:val="single" w:sz="4" w:space="0" w:color="auto"/>
              <w:right w:val="single" w:sz="4" w:space="0" w:color="auto"/>
            </w:tcBorders>
            <w:shd w:val="clear" w:color="auto" w:fill="auto"/>
            <w:noWrap/>
            <w:vAlign w:val="center"/>
            <w:hideMark/>
          </w:tcPr>
          <w:p w14:paraId="4B137FA7" w14:textId="77777777" w:rsidR="009D5DD0" w:rsidRPr="00885E85" w:rsidRDefault="009D5DD0" w:rsidP="00385866">
            <w:pPr>
              <w:jc w:val="center"/>
              <w:rPr>
                <w:rFonts w:ascii="Times New Roman" w:hAnsi="Times New Roman"/>
                <w:i/>
                <w:iCs/>
                <w:color w:val="000000"/>
                <w:sz w:val="17"/>
                <w:szCs w:val="17"/>
              </w:rPr>
            </w:pPr>
            <w:r>
              <w:rPr>
                <w:rFonts w:ascii="Times New Roman" w:hAnsi="Times New Roman"/>
                <w:i/>
                <w:color w:val="000000"/>
                <w:sz w:val="17"/>
              </w:rPr>
              <w:t>World</w:t>
            </w:r>
          </w:p>
        </w:tc>
        <w:tc>
          <w:tcPr>
            <w:tcW w:w="364" w:type="pct"/>
            <w:tcBorders>
              <w:top w:val="nil"/>
              <w:left w:val="nil"/>
              <w:bottom w:val="single" w:sz="4" w:space="0" w:color="auto"/>
              <w:right w:val="single" w:sz="4" w:space="0" w:color="auto"/>
            </w:tcBorders>
            <w:shd w:val="clear" w:color="auto" w:fill="auto"/>
            <w:noWrap/>
            <w:vAlign w:val="center"/>
            <w:hideMark/>
          </w:tcPr>
          <w:p w14:paraId="4614FFE9" w14:textId="77777777" w:rsidR="009D5DD0" w:rsidRPr="00885E85" w:rsidRDefault="009D5DD0" w:rsidP="00385866">
            <w:pPr>
              <w:jc w:val="center"/>
              <w:rPr>
                <w:rFonts w:ascii="Times New Roman" w:hAnsi="Times New Roman"/>
                <w:i/>
                <w:iCs/>
                <w:color w:val="000000"/>
                <w:sz w:val="17"/>
                <w:szCs w:val="17"/>
              </w:rPr>
            </w:pPr>
            <w:r>
              <w:rPr>
                <w:rFonts w:ascii="Times New Roman" w:hAnsi="Times New Roman"/>
                <w:i/>
                <w:color w:val="000000"/>
                <w:sz w:val="17"/>
              </w:rPr>
              <w:t>Brazil</w:t>
            </w:r>
          </w:p>
        </w:tc>
        <w:tc>
          <w:tcPr>
            <w:tcW w:w="406" w:type="pct"/>
            <w:tcBorders>
              <w:top w:val="nil"/>
              <w:left w:val="nil"/>
              <w:bottom w:val="single" w:sz="4" w:space="0" w:color="auto"/>
              <w:right w:val="nil"/>
            </w:tcBorders>
            <w:shd w:val="clear" w:color="auto" w:fill="auto"/>
            <w:noWrap/>
            <w:vAlign w:val="center"/>
            <w:hideMark/>
          </w:tcPr>
          <w:p w14:paraId="2EAA6A1C" w14:textId="77777777" w:rsidR="009D5DD0" w:rsidRPr="00885E85" w:rsidRDefault="009D5DD0" w:rsidP="00385866">
            <w:pPr>
              <w:jc w:val="center"/>
              <w:rPr>
                <w:rFonts w:ascii="Times New Roman" w:hAnsi="Times New Roman"/>
                <w:i/>
                <w:iCs/>
                <w:color w:val="000000"/>
                <w:sz w:val="17"/>
                <w:szCs w:val="17"/>
              </w:rPr>
            </w:pPr>
            <w:r>
              <w:rPr>
                <w:rFonts w:ascii="Times New Roman" w:hAnsi="Times New Roman"/>
                <w:i/>
                <w:color w:val="000000"/>
                <w:sz w:val="17"/>
              </w:rPr>
              <w:t>World</w:t>
            </w:r>
          </w:p>
        </w:tc>
      </w:tr>
      <w:tr w:rsidR="009D5DD0" w:rsidRPr="002252AD" w14:paraId="37092D6C" w14:textId="77777777" w:rsidTr="00E247DD">
        <w:trPr>
          <w:trHeight w:val="320"/>
        </w:trPr>
        <w:tc>
          <w:tcPr>
            <w:tcW w:w="374" w:type="pct"/>
            <w:tcBorders>
              <w:top w:val="nil"/>
              <w:left w:val="nil"/>
              <w:bottom w:val="single" w:sz="4" w:space="0" w:color="auto"/>
              <w:right w:val="single" w:sz="4" w:space="0" w:color="auto"/>
            </w:tcBorders>
            <w:shd w:val="clear" w:color="auto" w:fill="auto"/>
            <w:noWrap/>
            <w:vAlign w:val="center"/>
            <w:hideMark/>
          </w:tcPr>
          <w:p w14:paraId="7D2AD367" w14:textId="77777777" w:rsidR="009D5DD0" w:rsidRPr="00885E85" w:rsidRDefault="009D5DD0" w:rsidP="00385866">
            <w:pPr>
              <w:rPr>
                <w:rFonts w:ascii="Times New Roman" w:hAnsi="Times New Roman"/>
                <w:b/>
                <w:bCs/>
                <w:color w:val="000000"/>
                <w:sz w:val="20"/>
                <w:szCs w:val="20"/>
              </w:rPr>
            </w:pPr>
            <w:r>
              <w:rPr>
                <w:rFonts w:ascii="Times New Roman" w:hAnsi="Times New Roman"/>
                <w:b/>
                <w:color w:val="000000"/>
                <w:sz w:val="20"/>
              </w:rPr>
              <w:t>2010</w:t>
            </w:r>
          </w:p>
        </w:tc>
        <w:tc>
          <w:tcPr>
            <w:tcW w:w="3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FD181E" w14:textId="77777777" w:rsidR="009D5DD0" w:rsidRPr="00885E85" w:rsidRDefault="009D5DD0" w:rsidP="00E247DD">
            <w:pPr>
              <w:jc w:val="center"/>
              <w:rPr>
                <w:rFonts w:ascii="Times New Roman" w:hAnsi="Times New Roman"/>
                <w:color w:val="00B050"/>
                <w:sz w:val="20"/>
                <w:szCs w:val="20"/>
              </w:rPr>
            </w:pPr>
            <w:r>
              <w:rPr>
                <w:rFonts w:ascii="Times New Roman" w:hAnsi="Times New Roman"/>
                <w:color w:val="00B050"/>
                <w:sz w:val="20"/>
              </w:rPr>
              <w:t>78.2</w:t>
            </w:r>
          </w:p>
        </w:tc>
        <w:tc>
          <w:tcPr>
            <w:tcW w:w="407" w:type="pct"/>
            <w:tcBorders>
              <w:top w:val="nil"/>
              <w:left w:val="nil"/>
              <w:bottom w:val="single" w:sz="4" w:space="0" w:color="auto"/>
              <w:right w:val="single" w:sz="4" w:space="0" w:color="auto"/>
            </w:tcBorders>
            <w:shd w:val="clear" w:color="auto" w:fill="auto"/>
            <w:noWrap/>
            <w:vAlign w:val="center"/>
            <w:hideMark/>
          </w:tcPr>
          <w:p w14:paraId="7E9320EB" w14:textId="77777777" w:rsidR="009D5DD0" w:rsidRPr="00885E85" w:rsidRDefault="009D5DD0" w:rsidP="00E247DD">
            <w:pPr>
              <w:jc w:val="center"/>
              <w:rPr>
                <w:rFonts w:ascii="Times New Roman" w:hAnsi="Times New Roman"/>
                <w:color w:val="000000"/>
                <w:sz w:val="20"/>
                <w:szCs w:val="20"/>
              </w:rPr>
            </w:pPr>
            <w:r>
              <w:rPr>
                <w:rFonts w:ascii="Times New Roman" w:hAnsi="Times New Roman"/>
                <w:color w:val="000000"/>
                <w:sz w:val="20"/>
              </w:rPr>
              <w:t>16.6</w:t>
            </w:r>
          </w:p>
        </w:tc>
        <w:tc>
          <w:tcPr>
            <w:tcW w:w="3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62D878" w14:textId="77777777" w:rsidR="009D5DD0" w:rsidRPr="00885E85" w:rsidRDefault="009D5DD0" w:rsidP="00E247DD">
            <w:pPr>
              <w:jc w:val="center"/>
              <w:rPr>
                <w:rFonts w:ascii="Times New Roman" w:hAnsi="Times New Roman"/>
                <w:color w:val="00B050"/>
                <w:sz w:val="20"/>
                <w:szCs w:val="20"/>
              </w:rPr>
            </w:pPr>
            <w:r>
              <w:rPr>
                <w:rFonts w:ascii="Times New Roman" w:hAnsi="Times New Roman"/>
                <w:color w:val="00B050"/>
                <w:sz w:val="20"/>
              </w:rPr>
              <w:t>6.1</w:t>
            </w:r>
          </w:p>
        </w:tc>
        <w:tc>
          <w:tcPr>
            <w:tcW w:w="407" w:type="pct"/>
            <w:tcBorders>
              <w:top w:val="nil"/>
              <w:left w:val="nil"/>
              <w:bottom w:val="single" w:sz="4" w:space="0" w:color="auto"/>
              <w:right w:val="single" w:sz="4" w:space="0" w:color="auto"/>
            </w:tcBorders>
            <w:shd w:val="clear" w:color="auto" w:fill="auto"/>
            <w:noWrap/>
            <w:vAlign w:val="center"/>
            <w:hideMark/>
          </w:tcPr>
          <w:p w14:paraId="0417729A" w14:textId="77777777" w:rsidR="009D5DD0" w:rsidRPr="00885E85" w:rsidRDefault="009D5DD0" w:rsidP="00E247DD">
            <w:pPr>
              <w:jc w:val="center"/>
              <w:rPr>
                <w:rFonts w:ascii="Times New Roman" w:hAnsi="Times New Roman"/>
                <w:color w:val="000000"/>
                <w:sz w:val="20"/>
                <w:szCs w:val="20"/>
              </w:rPr>
            </w:pPr>
            <w:r>
              <w:rPr>
                <w:rFonts w:ascii="Times New Roman" w:hAnsi="Times New Roman"/>
                <w:color w:val="000000"/>
                <w:sz w:val="20"/>
              </w:rPr>
              <w:t>1.8</w:t>
            </w:r>
          </w:p>
        </w:tc>
        <w:tc>
          <w:tcPr>
            <w:tcW w:w="3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942CEE" w14:textId="77777777" w:rsidR="009D5DD0" w:rsidRPr="00885E85" w:rsidRDefault="009D5DD0" w:rsidP="00E247DD">
            <w:pPr>
              <w:jc w:val="center"/>
              <w:rPr>
                <w:rFonts w:ascii="Times New Roman" w:hAnsi="Times New Roman"/>
                <w:color w:val="9C0006"/>
                <w:sz w:val="20"/>
                <w:szCs w:val="20"/>
              </w:rPr>
            </w:pPr>
            <w:r>
              <w:rPr>
                <w:rFonts w:ascii="Times New Roman" w:hAnsi="Times New Roman"/>
                <w:color w:val="9C0006"/>
                <w:sz w:val="20"/>
              </w:rPr>
              <w:t>0.4</w:t>
            </w:r>
          </w:p>
        </w:tc>
        <w:tc>
          <w:tcPr>
            <w:tcW w:w="407" w:type="pct"/>
            <w:tcBorders>
              <w:top w:val="nil"/>
              <w:left w:val="nil"/>
              <w:bottom w:val="single" w:sz="4" w:space="0" w:color="auto"/>
              <w:right w:val="single" w:sz="4" w:space="0" w:color="auto"/>
            </w:tcBorders>
            <w:shd w:val="clear" w:color="auto" w:fill="auto"/>
            <w:noWrap/>
            <w:vAlign w:val="center"/>
            <w:hideMark/>
          </w:tcPr>
          <w:p w14:paraId="598C55AA" w14:textId="77777777" w:rsidR="009D5DD0" w:rsidRPr="00885E85" w:rsidRDefault="009D5DD0" w:rsidP="00E247DD">
            <w:pPr>
              <w:jc w:val="center"/>
              <w:rPr>
                <w:rFonts w:ascii="Times New Roman" w:hAnsi="Times New Roman"/>
                <w:color w:val="000000"/>
                <w:sz w:val="20"/>
                <w:szCs w:val="20"/>
              </w:rPr>
            </w:pPr>
            <w:r>
              <w:rPr>
                <w:rFonts w:ascii="Times New Roman" w:hAnsi="Times New Roman"/>
                <w:color w:val="000000"/>
                <w:sz w:val="20"/>
              </w:rPr>
              <w:t>1.7</w:t>
            </w:r>
          </w:p>
        </w:tc>
        <w:tc>
          <w:tcPr>
            <w:tcW w:w="3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BF453A" w14:textId="77777777" w:rsidR="009D5DD0" w:rsidRPr="00885E85" w:rsidRDefault="009D5DD0" w:rsidP="00E247DD">
            <w:pPr>
              <w:jc w:val="center"/>
              <w:rPr>
                <w:rFonts w:ascii="Times New Roman" w:hAnsi="Times New Roman"/>
                <w:color w:val="9C0006"/>
                <w:sz w:val="20"/>
                <w:szCs w:val="20"/>
              </w:rPr>
            </w:pPr>
            <w:r>
              <w:rPr>
                <w:rFonts w:ascii="Times New Roman" w:hAnsi="Times New Roman"/>
                <w:color w:val="9C0006"/>
                <w:sz w:val="20"/>
              </w:rPr>
              <w:t>0.0</w:t>
            </w:r>
          </w:p>
        </w:tc>
        <w:tc>
          <w:tcPr>
            <w:tcW w:w="407" w:type="pct"/>
            <w:tcBorders>
              <w:top w:val="nil"/>
              <w:left w:val="nil"/>
              <w:bottom w:val="single" w:sz="4" w:space="0" w:color="auto"/>
              <w:right w:val="single" w:sz="4" w:space="0" w:color="auto"/>
            </w:tcBorders>
            <w:shd w:val="clear" w:color="auto" w:fill="auto"/>
            <w:noWrap/>
            <w:vAlign w:val="center"/>
            <w:hideMark/>
          </w:tcPr>
          <w:p w14:paraId="7FCFC68A" w14:textId="77777777" w:rsidR="009D5DD0" w:rsidRPr="00885E85" w:rsidRDefault="009D5DD0" w:rsidP="00E247DD">
            <w:pPr>
              <w:jc w:val="center"/>
              <w:rPr>
                <w:rFonts w:ascii="Times New Roman" w:hAnsi="Times New Roman"/>
                <w:color w:val="000000"/>
                <w:sz w:val="20"/>
                <w:szCs w:val="20"/>
              </w:rPr>
            </w:pPr>
            <w:r>
              <w:rPr>
                <w:rFonts w:ascii="Times New Roman" w:hAnsi="Times New Roman"/>
                <w:color w:val="000000"/>
                <w:sz w:val="20"/>
              </w:rPr>
              <w:t>0.2</w:t>
            </w:r>
          </w:p>
        </w:tc>
        <w:tc>
          <w:tcPr>
            <w:tcW w:w="3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00A1BA" w14:textId="77777777" w:rsidR="009D5DD0" w:rsidRPr="00885E85" w:rsidRDefault="009D5DD0" w:rsidP="00E247DD">
            <w:pPr>
              <w:jc w:val="center"/>
              <w:rPr>
                <w:rFonts w:ascii="Times New Roman" w:hAnsi="Times New Roman"/>
                <w:color w:val="00B050"/>
                <w:sz w:val="20"/>
                <w:szCs w:val="20"/>
              </w:rPr>
            </w:pPr>
            <w:r>
              <w:rPr>
                <w:rFonts w:ascii="Times New Roman" w:hAnsi="Times New Roman"/>
                <w:color w:val="00B050"/>
                <w:sz w:val="20"/>
              </w:rPr>
              <w:t>84.7</w:t>
            </w:r>
          </w:p>
        </w:tc>
        <w:tc>
          <w:tcPr>
            <w:tcW w:w="407" w:type="pct"/>
            <w:tcBorders>
              <w:top w:val="nil"/>
              <w:left w:val="nil"/>
              <w:bottom w:val="single" w:sz="4" w:space="0" w:color="auto"/>
              <w:right w:val="single" w:sz="4" w:space="0" w:color="auto"/>
            </w:tcBorders>
            <w:shd w:val="clear" w:color="auto" w:fill="auto"/>
            <w:noWrap/>
            <w:vAlign w:val="center"/>
            <w:hideMark/>
          </w:tcPr>
          <w:p w14:paraId="704957AD" w14:textId="77777777" w:rsidR="009D5DD0" w:rsidRPr="00885E85" w:rsidRDefault="009D5DD0" w:rsidP="00E247DD">
            <w:pPr>
              <w:jc w:val="center"/>
              <w:rPr>
                <w:rFonts w:ascii="Times New Roman" w:hAnsi="Times New Roman"/>
                <w:color w:val="000000"/>
                <w:sz w:val="20"/>
                <w:szCs w:val="20"/>
              </w:rPr>
            </w:pPr>
            <w:r>
              <w:rPr>
                <w:rFonts w:ascii="Times New Roman" w:hAnsi="Times New Roman"/>
                <w:color w:val="000000"/>
                <w:sz w:val="20"/>
              </w:rPr>
              <w:t>20.7</w:t>
            </w:r>
          </w:p>
        </w:tc>
        <w:tc>
          <w:tcPr>
            <w:tcW w:w="3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B57265" w14:textId="77777777" w:rsidR="009D5DD0" w:rsidRPr="00885E85" w:rsidRDefault="009D5DD0" w:rsidP="00E247DD">
            <w:pPr>
              <w:jc w:val="center"/>
              <w:rPr>
                <w:rFonts w:ascii="Times New Roman" w:hAnsi="Times New Roman"/>
                <w:color w:val="9C0006"/>
                <w:sz w:val="20"/>
                <w:szCs w:val="20"/>
              </w:rPr>
            </w:pPr>
            <w:r>
              <w:rPr>
                <w:rFonts w:ascii="Times New Roman" w:hAnsi="Times New Roman"/>
                <w:color w:val="9C0006"/>
                <w:sz w:val="20"/>
              </w:rPr>
              <w:t>14.0</w:t>
            </w:r>
          </w:p>
        </w:tc>
        <w:tc>
          <w:tcPr>
            <w:tcW w:w="406" w:type="pct"/>
            <w:tcBorders>
              <w:top w:val="nil"/>
              <w:left w:val="nil"/>
              <w:bottom w:val="single" w:sz="4" w:space="0" w:color="auto"/>
              <w:right w:val="nil"/>
            </w:tcBorders>
            <w:shd w:val="clear" w:color="auto" w:fill="auto"/>
            <w:noWrap/>
            <w:vAlign w:val="center"/>
            <w:hideMark/>
          </w:tcPr>
          <w:p w14:paraId="73F271EB" w14:textId="77777777" w:rsidR="009D5DD0" w:rsidRPr="00885E85" w:rsidRDefault="009D5DD0" w:rsidP="00E247DD">
            <w:pPr>
              <w:jc w:val="center"/>
              <w:rPr>
                <w:rFonts w:ascii="Times New Roman" w:hAnsi="Times New Roman"/>
                <w:color w:val="000000"/>
                <w:sz w:val="20"/>
                <w:szCs w:val="20"/>
              </w:rPr>
            </w:pPr>
            <w:r>
              <w:rPr>
                <w:rFonts w:ascii="Times New Roman" w:hAnsi="Times New Roman"/>
                <w:color w:val="000000"/>
                <w:sz w:val="20"/>
              </w:rPr>
              <w:t>79.4</w:t>
            </w:r>
          </w:p>
        </w:tc>
      </w:tr>
      <w:tr w:rsidR="009D5DD0" w:rsidRPr="002252AD" w14:paraId="383C4771" w14:textId="77777777" w:rsidTr="00E247DD">
        <w:trPr>
          <w:trHeight w:val="320"/>
        </w:trPr>
        <w:tc>
          <w:tcPr>
            <w:tcW w:w="374" w:type="pct"/>
            <w:tcBorders>
              <w:top w:val="nil"/>
              <w:left w:val="nil"/>
              <w:bottom w:val="single" w:sz="4" w:space="0" w:color="auto"/>
              <w:right w:val="single" w:sz="4" w:space="0" w:color="auto"/>
            </w:tcBorders>
            <w:shd w:val="clear" w:color="auto" w:fill="auto"/>
            <w:noWrap/>
            <w:vAlign w:val="center"/>
            <w:hideMark/>
          </w:tcPr>
          <w:p w14:paraId="7620552F" w14:textId="77777777" w:rsidR="009D5DD0" w:rsidRPr="00885E85" w:rsidRDefault="009D5DD0" w:rsidP="00385866">
            <w:pPr>
              <w:rPr>
                <w:rFonts w:ascii="Times New Roman" w:hAnsi="Times New Roman"/>
                <w:b/>
                <w:bCs/>
                <w:color w:val="000000"/>
                <w:sz w:val="20"/>
                <w:szCs w:val="20"/>
              </w:rPr>
            </w:pPr>
            <w:r>
              <w:rPr>
                <w:rFonts w:ascii="Times New Roman" w:hAnsi="Times New Roman"/>
                <w:b/>
                <w:color w:val="000000"/>
                <w:sz w:val="20"/>
              </w:rPr>
              <w:t>2011</w:t>
            </w:r>
          </w:p>
        </w:tc>
        <w:tc>
          <w:tcPr>
            <w:tcW w:w="3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70DAD1" w14:textId="77777777" w:rsidR="009D5DD0" w:rsidRPr="00885E85" w:rsidRDefault="009D5DD0" w:rsidP="00E247DD">
            <w:pPr>
              <w:jc w:val="center"/>
              <w:rPr>
                <w:rFonts w:ascii="Times New Roman" w:hAnsi="Times New Roman"/>
                <w:color w:val="00B050"/>
                <w:sz w:val="20"/>
                <w:szCs w:val="20"/>
              </w:rPr>
            </w:pPr>
            <w:r>
              <w:rPr>
                <w:rFonts w:ascii="Times New Roman" w:hAnsi="Times New Roman"/>
                <w:color w:val="00B050"/>
                <w:sz w:val="20"/>
              </w:rPr>
              <w:t>80.6</w:t>
            </w:r>
          </w:p>
        </w:tc>
        <w:tc>
          <w:tcPr>
            <w:tcW w:w="407" w:type="pct"/>
            <w:tcBorders>
              <w:top w:val="nil"/>
              <w:left w:val="nil"/>
              <w:bottom w:val="single" w:sz="4" w:space="0" w:color="auto"/>
              <w:right w:val="single" w:sz="4" w:space="0" w:color="auto"/>
            </w:tcBorders>
            <w:shd w:val="clear" w:color="auto" w:fill="auto"/>
            <w:noWrap/>
            <w:vAlign w:val="center"/>
            <w:hideMark/>
          </w:tcPr>
          <w:p w14:paraId="71876FBF" w14:textId="77777777" w:rsidR="009D5DD0" w:rsidRPr="00885E85" w:rsidRDefault="009D5DD0" w:rsidP="00E247DD">
            <w:pPr>
              <w:jc w:val="center"/>
              <w:rPr>
                <w:rFonts w:ascii="Times New Roman" w:hAnsi="Times New Roman"/>
                <w:color w:val="000000"/>
                <w:sz w:val="20"/>
                <w:szCs w:val="20"/>
              </w:rPr>
            </w:pPr>
            <w:r>
              <w:rPr>
                <w:rFonts w:ascii="Times New Roman" w:hAnsi="Times New Roman"/>
                <w:color w:val="000000"/>
                <w:sz w:val="20"/>
              </w:rPr>
              <w:t>16.4</w:t>
            </w:r>
          </w:p>
        </w:tc>
        <w:tc>
          <w:tcPr>
            <w:tcW w:w="3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D6DAD5" w14:textId="77777777" w:rsidR="009D5DD0" w:rsidRPr="00885E85" w:rsidRDefault="009D5DD0" w:rsidP="00E247DD">
            <w:pPr>
              <w:jc w:val="center"/>
              <w:rPr>
                <w:rFonts w:ascii="Times New Roman" w:hAnsi="Times New Roman"/>
                <w:color w:val="00B050"/>
                <w:sz w:val="20"/>
                <w:szCs w:val="20"/>
              </w:rPr>
            </w:pPr>
            <w:r>
              <w:rPr>
                <w:rFonts w:ascii="Times New Roman" w:hAnsi="Times New Roman"/>
                <w:color w:val="00B050"/>
                <w:sz w:val="20"/>
              </w:rPr>
              <w:t>5.9</w:t>
            </w:r>
          </w:p>
        </w:tc>
        <w:tc>
          <w:tcPr>
            <w:tcW w:w="407" w:type="pct"/>
            <w:tcBorders>
              <w:top w:val="nil"/>
              <w:left w:val="nil"/>
              <w:bottom w:val="single" w:sz="4" w:space="0" w:color="auto"/>
              <w:right w:val="single" w:sz="4" w:space="0" w:color="auto"/>
            </w:tcBorders>
            <w:shd w:val="clear" w:color="auto" w:fill="auto"/>
            <w:noWrap/>
            <w:vAlign w:val="center"/>
            <w:hideMark/>
          </w:tcPr>
          <w:p w14:paraId="149625AD" w14:textId="77777777" w:rsidR="009D5DD0" w:rsidRPr="00885E85" w:rsidRDefault="009D5DD0" w:rsidP="00E247DD">
            <w:pPr>
              <w:jc w:val="center"/>
              <w:rPr>
                <w:rFonts w:ascii="Times New Roman" w:hAnsi="Times New Roman"/>
                <w:color w:val="000000"/>
                <w:sz w:val="20"/>
                <w:szCs w:val="20"/>
              </w:rPr>
            </w:pPr>
            <w:r>
              <w:rPr>
                <w:rFonts w:ascii="Times New Roman" w:hAnsi="Times New Roman"/>
                <w:color w:val="000000"/>
                <w:sz w:val="20"/>
              </w:rPr>
              <w:t>1.8</w:t>
            </w:r>
          </w:p>
        </w:tc>
        <w:tc>
          <w:tcPr>
            <w:tcW w:w="3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3020E8" w14:textId="77777777" w:rsidR="009D5DD0" w:rsidRPr="00885E85" w:rsidRDefault="009D5DD0" w:rsidP="00E247DD">
            <w:pPr>
              <w:jc w:val="center"/>
              <w:rPr>
                <w:rFonts w:ascii="Times New Roman" w:hAnsi="Times New Roman"/>
                <w:color w:val="9C0006"/>
                <w:sz w:val="20"/>
                <w:szCs w:val="20"/>
              </w:rPr>
            </w:pPr>
            <w:r>
              <w:rPr>
                <w:rFonts w:ascii="Times New Roman" w:hAnsi="Times New Roman"/>
                <w:color w:val="9C0006"/>
                <w:sz w:val="20"/>
              </w:rPr>
              <w:t>0.5</w:t>
            </w:r>
          </w:p>
        </w:tc>
        <w:tc>
          <w:tcPr>
            <w:tcW w:w="407" w:type="pct"/>
            <w:tcBorders>
              <w:top w:val="nil"/>
              <w:left w:val="nil"/>
              <w:bottom w:val="single" w:sz="4" w:space="0" w:color="auto"/>
              <w:right w:val="single" w:sz="4" w:space="0" w:color="auto"/>
            </w:tcBorders>
            <w:shd w:val="clear" w:color="auto" w:fill="auto"/>
            <w:noWrap/>
            <w:vAlign w:val="center"/>
            <w:hideMark/>
          </w:tcPr>
          <w:p w14:paraId="546B53EC" w14:textId="77777777" w:rsidR="009D5DD0" w:rsidRPr="00885E85" w:rsidRDefault="009D5DD0" w:rsidP="00E247DD">
            <w:pPr>
              <w:jc w:val="center"/>
              <w:rPr>
                <w:rFonts w:ascii="Times New Roman" w:hAnsi="Times New Roman"/>
                <w:color w:val="000000"/>
                <w:sz w:val="20"/>
                <w:szCs w:val="20"/>
              </w:rPr>
            </w:pPr>
            <w:r>
              <w:rPr>
                <w:rFonts w:ascii="Times New Roman" w:hAnsi="Times New Roman"/>
                <w:color w:val="000000"/>
                <w:sz w:val="20"/>
              </w:rPr>
              <w:t>2.1</w:t>
            </w:r>
          </w:p>
        </w:tc>
        <w:tc>
          <w:tcPr>
            <w:tcW w:w="3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7F774D" w14:textId="77777777" w:rsidR="009D5DD0" w:rsidRPr="00885E85" w:rsidRDefault="009D5DD0" w:rsidP="00E247DD">
            <w:pPr>
              <w:jc w:val="center"/>
              <w:rPr>
                <w:rFonts w:ascii="Times New Roman" w:hAnsi="Times New Roman"/>
                <w:color w:val="9C0006"/>
                <w:sz w:val="20"/>
                <w:szCs w:val="20"/>
              </w:rPr>
            </w:pPr>
            <w:r>
              <w:rPr>
                <w:rFonts w:ascii="Times New Roman" w:hAnsi="Times New Roman"/>
                <w:color w:val="9C0006"/>
                <w:sz w:val="20"/>
              </w:rPr>
              <w:t>0.0</w:t>
            </w:r>
          </w:p>
        </w:tc>
        <w:tc>
          <w:tcPr>
            <w:tcW w:w="407" w:type="pct"/>
            <w:tcBorders>
              <w:top w:val="nil"/>
              <w:left w:val="nil"/>
              <w:bottom w:val="single" w:sz="4" w:space="0" w:color="auto"/>
              <w:right w:val="single" w:sz="4" w:space="0" w:color="auto"/>
            </w:tcBorders>
            <w:shd w:val="clear" w:color="auto" w:fill="auto"/>
            <w:noWrap/>
            <w:vAlign w:val="center"/>
            <w:hideMark/>
          </w:tcPr>
          <w:p w14:paraId="19109466" w14:textId="77777777" w:rsidR="009D5DD0" w:rsidRPr="00885E85" w:rsidRDefault="009D5DD0" w:rsidP="00E247DD">
            <w:pPr>
              <w:jc w:val="center"/>
              <w:rPr>
                <w:rFonts w:ascii="Times New Roman" w:hAnsi="Times New Roman"/>
                <w:color w:val="000000"/>
                <w:sz w:val="20"/>
                <w:szCs w:val="20"/>
              </w:rPr>
            </w:pPr>
            <w:r>
              <w:rPr>
                <w:rFonts w:ascii="Times New Roman" w:hAnsi="Times New Roman"/>
                <w:color w:val="000000"/>
                <w:sz w:val="20"/>
              </w:rPr>
              <w:t>0.3</w:t>
            </w:r>
          </w:p>
        </w:tc>
        <w:tc>
          <w:tcPr>
            <w:tcW w:w="3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19D536" w14:textId="77777777" w:rsidR="009D5DD0" w:rsidRPr="00885E85" w:rsidRDefault="009D5DD0" w:rsidP="00E247DD">
            <w:pPr>
              <w:jc w:val="center"/>
              <w:rPr>
                <w:rFonts w:ascii="Times New Roman" w:hAnsi="Times New Roman"/>
                <w:color w:val="00B050"/>
                <w:sz w:val="20"/>
                <w:szCs w:val="20"/>
              </w:rPr>
            </w:pPr>
            <w:r>
              <w:rPr>
                <w:rFonts w:ascii="Times New Roman" w:hAnsi="Times New Roman"/>
                <w:color w:val="00B050"/>
                <w:sz w:val="20"/>
              </w:rPr>
              <w:t>87.0</w:t>
            </w:r>
          </w:p>
        </w:tc>
        <w:tc>
          <w:tcPr>
            <w:tcW w:w="407" w:type="pct"/>
            <w:tcBorders>
              <w:top w:val="nil"/>
              <w:left w:val="nil"/>
              <w:bottom w:val="single" w:sz="4" w:space="0" w:color="auto"/>
              <w:right w:val="single" w:sz="4" w:space="0" w:color="auto"/>
            </w:tcBorders>
            <w:shd w:val="clear" w:color="auto" w:fill="auto"/>
            <w:noWrap/>
            <w:vAlign w:val="center"/>
            <w:hideMark/>
          </w:tcPr>
          <w:p w14:paraId="76154F62" w14:textId="77777777" w:rsidR="009D5DD0" w:rsidRPr="00885E85" w:rsidRDefault="009D5DD0" w:rsidP="00E247DD">
            <w:pPr>
              <w:jc w:val="center"/>
              <w:rPr>
                <w:rFonts w:ascii="Times New Roman" w:hAnsi="Times New Roman"/>
                <w:color w:val="000000"/>
                <w:sz w:val="20"/>
                <w:szCs w:val="20"/>
              </w:rPr>
            </w:pPr>
            <w:r>
              <w:rPr>
                <w:rFonts w:ascii="Times New Roman" w:hAnsi="Times New Roman"/>
                <w:color w:val="000000"/>
                <w:sz w:val="20"/>
              </w:rPr>
              <w:t>21.0</w:t>
            </w:r>
          </w:p>
        </w:tc>
        <w:tc>
          <w:tcPr>
            <w:tcW w:w="3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93497B" w14:textId="77777777" w:rsidR="009D5DD0" w:rsidRPr="00885E85" w:rsidRDefault="009D5DD0" w:rsidP="00E247DD">
            <w:pPr>
              <w:jc w:val="center"/>
              <w:rPr>
                <w:rFonts w:ascii="Times New Roman" w:hAnsi="Times New Roman"/>
                <w:color w:val="9C0006"/>
                <w:sz w:val="20"/>
                <w:szCs w:val="20"/>
              </w:rPr>
            </w:pPr>
            <w:r>
              <w:rPr>
                <w:rFonts w:ascii="Times New Roman" w:hAnsi="Times New Roman"/>
                <w:color w:val="9C0006"/>
                <w:sz w:val="20"/>
              </w:rPr>
              <w:t>11.2</w:t>
            </w:r>
          </w:p>
        </w:tc>
        <w:tc>
          <w:tcPr>
            <w:tcW w:w="406" w:type="pct"/>
            <w:tcBorders>
              <w:top w:val="nil"/>
              <w:left w:val="nil"/>
              <w:bottom w:val="single" w:sz="4" w:space="0" w:color="auto"/>
              <w:right w:val="nil"/>
            </w:tcBorders>
            <w:shd w:val="clear" w:color="auto" w:fill="auto"/>
            <w:noWrap/>
            <w:vAlign w:val="center"/>
            <w:hideMark/>
          </w:tcPr>
          <w:p w14:paraId="6F76B64B" w14:textId="77777777" w:rsidR="009D5DD0" w:rsidRPr="00885E85" w:rsidRDefault="009D5DD0" w:rsidP="00E247DD">
            <w:pPr>
              <w:jc w:val="center"/>
              <w:rPr>
                <w:rFonts w:ascii="Times New Roman" w:hAnsi="Times New Roman"/>
                <w:color w:val="000000"/>
                <w:sz w:val="20"/>
                <w:szCs w:val="20"/>
              </w:rPr>
            </w:pPr>
            <w:r>
              <w:rPr>
                <w:rFonts w:ascii="Times New Roman" w:hAnsi="Times New Roman"/>
                <w:color w:val="000000"/>
                <w:sz w:val="20"/>
              </w:rPr>
              <w:t>79.1</w:t>
            </w:r>
          </w:p>
        </w:tc>
      </w:tr>
      <w:tr w:rsidR="009D5DD0" w:rsidRPr="002252AD" w14:paraId="57992736" w14:textId="77777777" w:rsidTr="00E247DD">
        <w:trPr>
          <w:trHeight w:val="320"/>
        </w:trPr>
        <w:tc>
          <w:tcPr>
            <w:tcW w:w="374" w:type="pct"/>
            <w:tcBorders>
              <w:top w:val="nil"/>
              <w:left w:val="nil"/>
              <w:bottom w:val="single" w:sz="4" w:space="0" w:color="auto"/>
              <w:right w:val="single" w:sz="4" w:space="0" w:color="auto"/>
            </w:tcBorders>
            <w:shd w:val="clear" w:color="auto" w:fill="auto"/>
            <w:noWrap/>
            <w:vAlign w:val="center"/>
            <w:hideMark/>
          </w:tcPr>
          <w:p w14:paraId="7B8D9EFA" w14:textId="77777777" w:rsidR="009D5DD0" w:rsidRPr="00885E85" w:rsidRDefault="009D5DD0" w:rsidP="00385866">
            <w:pPr>
              <w:rPr>
                <w:rFonts w:ascii="Times New Roman" w:hAnsi="Times New Roman"/>
                <w:b/>
                <w:bCs/>
                <w:color w:val="000000"/>
                <w:sz w:val="20"/>
                <w:szCs w:val="20"/>
              </w:rPr>
            </w:pPr>
            <w:r>
              <w:rPr>
                <w:rFonts w:ascii="Times New Roman" w:hAnsi="Times New Roman"/>
                <w:b/>
                <w:color w:val="000000"/>
                <w:sz w:val="20"/>
              </w:rPr>
              <w:t>2012</w:t>
            </w:r>
          </w:p>
        </w:tc>
        <w:tc>
          <w:tcPr>
            <w:tcW w:w="3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18D05D" w14:textId="77777777" w:rsidR="009D5DD0" w:rsidRPr="00885E85" w:rsidRDefault="009D5DD0" w:rsidP="00E247DD">
            <w:pPr>
              <w:jc w:val="center"/>
              <w:rPr>
                <w:rFonts w:ascii="Times New Roman" w:hAnsi="Times New Roman"/>
                <w:color w:val="00B050"/>
                <w:sz w:val="20"/>
                <w:szCs w:val="20"/>
              </w:rPr>
            </w:pPr>
            <w:r>
              <w:rPr>
                <w:rFonts w:ascii="Times New Roman" w:hAnsi="Times New Roman"/>
                <w:color w:val="00B050"/>
                <w:sz w:val="20"/>
              </w:rPr>
              <w:t>75.2</w:t>
            </w:r>
          </w:p>
        </w:tc>
        <w:tc>
          <w:tcPr>
            <w:tcW w:w="407" w:type="pct"/>
            <w:tcBorders>
              <w:top w:val="nil"/>
              <w:left w:val="nil"/>
              <w:bottom w:val="single" w:sz="4" w:space="0" w:color="auto"/>
              <w:right w:val="single" w:sz="4" w:space="0" w:color="auto"/>
            </w:tcBorders>
            <w:shd w:val="clear" w:color="auto" w:fill="auto"/>
            <w:noWrap/>
            <w:vAlign w:val="center"/>
            <w:hideMark/>
          </w:tcPr>
          <w:p w14:paraId="69FE36DB" w14:textId="77777777" w:rsidR="009D5DD0" w:rsidRPr="00885E85" w:rsidRDefault="009D5DD0" w:rsidP="00E247DD">
            <w:pPr>
              <w:jc w:val="center"/>
              <w:rPr>
                <w:rFonts w:ascii="Times New Roman" w:hAnsi="Times New Roman"/>
                <w:color w:val="000000"/>
                <w:sz w:val="20"/>
                <w:szCs w:val="20"/>
              </w:rPr>
            </w:pPr>
            <w:r>
              <w:rPr>
                <w:rFonts w:ascii="Times New Roman" w:hAnsi="Times New Roman"/>
                <w:color w:val="000000"/>
                <w:sz w:val="20"/>
              </w:rPr>
              <w:t>16.8</w:t>
            </w:r>
          </w:p>
        </w:tc>
        <w:tc>
          <w:tcPr>
            <w:tcW w:w="3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8B5CCE" w14:textId="77777777" w:rsidR="009D5DD0" w:rsidRPr="00885E85" w:rsidRDefault="009D5DD0" w:rsidP="00E247DD">
            <w:pPr>
              <w:jc w:val="center"/>
              <w:rPr>
                <w:rFonts w:ascii="Times New Roman" w:hAnsi="Times New Roman"/>
                <w:color w:val="00B050"/>
                <w:sz w:val="20"/>
                <w:szCs w:val="20"/>
              </w:rPr>
            </w:pPr>
            <w:r>
              <w:rPr>
                <w:rFonts w:ascii="Times New Roman" w:hAnsi="Times New Roman"/>
                <w:color w:val="00B050"/>
                <w:sz w:val="20"/>
              </w:rPr>
              <w:t>6.3</w:t>
            </w:r>
          </w:p>
        </w:tc>
        <w:tc>
          <w:tcPr>
            <w:tcW w:w="407" w:type="pct"/>
            <w:tcBorders>
              <w:top w:val="nil"/>
              <w:left w:val="nil"/>
              <w:bottom w:val="single" w:sz="4" w:space="0" w:color="auto"/>
              <w:right w:val="single" w:sz="4" w:space="0" w:color="auto"/>
            </w:tcBorders>
            <w:shd w:val="clear" w:color="auto" w:fill="auto"/>
            <w:noWrap/>
            <w:vAlign w:val="center"/>
            <w:hideMark/>
          </w:tcPr>
          <w:p w14:paraId="7574353B" w14:textId="77777777" w:rsidR="009D5DD0" w:rsidRPr="00885E85" w:rsidRDefault="009D5DD0" w:rsidP="00E247DD">
            <w:pPr>
              <w:jc w:val="center"/>
              <w:rPr>
                <w:rFonts w:ascii="Times New Roman" w:hAnsi="Times New Roman"/>
                <w:color w:val="000000"/>
                <w:sz w:val="20"/>
                <w:szCs w:val="20"/>
              </w:rPr>
            </w:pPr>
            <w:r>
              <w:rPr>
                <w:rFonts w:ascii="Times New Roman" w:hAnsi="Times New Roman"/>
                <w:color w:val="000000"/>
                <w:sz w:val="20"/>
              </w:rPr>
              <w:t>1.9</w:t>
            </w:r>
          </w:p>
        </w:tc>
        <w:tc>
          <w:tcPr>
            <w:tcW w:w="3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2B15F1" w14:textId="77777777" w:rsidR="009D5DD0" w:rsidRPr="00885E85" w:rsidRDefault="009D5DD0" w:rsidP="00E247DD">
            <w:pPr>
              <w:jc w:val="center"/>
              <w:rPr>
                <w:rFonts w:ascii="Times New Roman" w:hAnsi="Times New Roman"/>
                <w:color w:val="9C0006"/>
                <w:sz w:val="20"/>
                <w:szCs w:val="20"/>
              </w:rPr>
            </w:pPr>
            <w:r>
              <w:rPr>
                <w:rFonts w:ascii="Times New Roman" w:hAnsi="Times New Roman"/>
                <w:color w:val="9C0006"/>
                <w:sz w:val="20"/>
              </w:rPr>
              <w:t>0.9</w:t>
            </w:r>
          </w:p>
        </w:tc>
        <w:tc>
          <w:tcPr>
            <w:tcW w:w="407" w:type="pct"/>
            <w:tcBorders>
              <w:top w:val="nil"/>
              <w:left w:val="nil"/>
              <w:bottom w:val="single" w:sz="4" w:space="0" w:color="auto"/>
              <w:right w:val="single" w:sz="4" w:space="0" w:color="auto"/>
            </w:tcBorders>
            <w:shd w:val="clear" w:color="auto" w:fill="auto"/>
            <w:noWrap/>
            <w:vAlign w:val="center"/>
            <w:hideMark/>
          </w:tcPr>
          <w:p w14:paraId="3DF57B9E" w14:textId="77777777" w:rsidR="009D5DD0" w:rsidRPr="00885E85" w:rsidRDefault="009D5DD0" w:rsidP="00E247DD">
            <w:pPr>
              <w:jc w:val="center"/>
              <w:rPr>
                <w:rFonts w:ascii="Times New Roman" w:hAnsi="Times New Roman"/>
                <w:color w:val="000000"/>
                <w:sz w:val="20"/>
                <w:szCs w:val="20"/>
              </w:rPr>
            </w:pPr>
            <w:r>
              <w:rPr>
                <w:rFonts w:ascii="Times New Roman" w:hAnsi="Times New Roman"/>
                <w:color w:val="000000"/>
                <w:sz w:val="20"/>
              </w:rPr>
              <w:t>2.4</w:t>
            </w:r>
          </w:p>
        </w:tc>
        <w:tc>
          <w:tcPr>
            <w:tcW w:w="3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9437AA" w14:textId="77777777" w:rsidR="009D5DD0" w:rsidRPr="00885E85" w:rsidRDefault="009D5DD0" w:rsidP="00E247DD">
            <w:pPr>
              <w:jc w:val="center"/>
              <w:rPr>
                <w:rFonts w:ascii="Times New Roman" w:hAnsi="Times New Roman"/>
                <w:color w:val="9C0006"/>
                <w:sz w:val="20"/>
                <w:szCs w:val="20"/>
              </w:rPr>
            </w:pPr>
            <w:r>
              <w:rPr>
                <w:rFonts w:ascii="Times New Roman" w:hAnsi="Times New Roman"/>
                <w:color w:val="9C0006"/>
                <w:sz w:val="20"/>
              </w:rPr>
              <w:t>0.0</w:t>
            </w:r>
          </w:p>
        </w:tc>
        <w:tc>
          <w:tcPr>
            <w:tcW w:w="407" w:type="pct"/>
            <w:tcBorders>
              <w:top w:val="nil"/>
              <w:left w:val="nil"/>
              <w:bottom w:val="single" w:sz="4" w:space="0" w:color="auto"/>
              <w:right w:val="single" w:sz="4" w:space="0" w:color="auto"/>
            </w:tcBorders>
            <w:shd w:val="clear" w:color="auto" w:fill="auto"/>
            <w:noWrap/>
            <w:vAlign w:val="center"/>
            <w:hideMark/>
          </w:tcPr>
          <w:p w14:paraId="0A283161" w14:textId="77777777" w:rsidR="009D5DD0" w:rsidRPr="00885E85" w:rsidRDefault="009D5DD0" w:rsidP="00E247DD">
            <w:pPr>
              <w:jc w:val="center"/>
              <w:rPr>
                <w:rFonts w:ascii="Times New Roman" w:hAnsi="Times New Roman"/>
                <w:color w:val="000000"/>
                <w:sz w:val="20"/>
                <w:szCs w:val="20"/>
              </w:rPr>
            </w:pPr>
            <w:r>
              <w:rPr>
                <w:rFonts w:ascii="Times New Roman" w:hAnsi="Times New Roman"/>
                <w:color w:val="000000"/>
                <w:sz w:val="20"/>
              </w:rPr>
              <w:t>0.5</w:t>
            </w:r>
          </w:p>
        </w:tc>
        <w:tc>
          <w:tcPr>
            <w:tcW w:w="3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FB07B1" w14:textId="77777777" w:rsidR="009D5DD0" w:rsidRPr="00885E85" w:rsidRDefault="009D5DD0" w:rsidP="00E247DD">
            <w:pPr>
              <w:jc w:val="center"/>
              <w:rPr>
                <w:rFonts w:ascii="Times New Roman" w:hAnsi="Times New Roman"/>
                <w:color w:val="00B050"/>
                <w:sz w:val="20"/>
                <w:szCs w:val="20"/>
              </w:rPr>
            </w:pPr>
            <w:r>
              <w:rPr>
                <w:rFonts w:ascii="Times New Roman" w:hAnsi="Times New Roman"/>
                <w:color w:val="00B050"/>
                <w:sz w:val="20"/>
              </w:rPr>
              <w:t>82.4</w:t>
            </w:r>
          </w:p>
        </w:tc>
        <w:tc>
          <w:tcPr>
            <w:tcW w:w="407" w:type="pct"/>
            <w:tcBorders>
              <w:top w:val="nil"/>
              <w:left w:val="nil"/>
              <w:bottom w:val="single" w:sz="4" w:space="0" w:color="auto"/>
              <w:right w:val="single" w:sz="4" w:space="0" w:color="auto"/>
            </w:tcBorders>
            <w:shd w:val="clear" w:color="auto" w:fill="auto"/>
            <w:noWrap/>
            <w:vAlign w:val="center"/>
            <w:hideMark/>
          </w:tcPr>
          <w:p w14:paraId="3362E6A5" w14:textId="77777777" w:rsidR="009D5DD0" w:rsidRPr="00885E85" w:rsidRDefault="009D5DD0" w:rsidP="00E247DD">
            <w:pPr>
              <w:jc w:val="center"/>
              <w:rPr>
                <w:rFonts w:ascii="Times New Roman" w:hAnsi="Times New Roman"/>
                <w:color w:val="000000"/>
                <w:sz w:val="20"/>
                <w:szCs w:val="20"/>
              </w:rPr>
            </w:pPr>
            <w:r>
              <w:rPr>
                <w:rFonts w:ascii="Times New Roman" w:hAnsi="Times New Roman"/>
                <w:color w:val="000000"/>
                <w:sz w:val="20"/>
              </w:rPr>
              <w:t>22.0</w:t>
            </w:r>
          </w:p>
        </w:tc>
        <w:tc>
          <w:tcPr>
            <w:tcW w:w="3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371D82" w14:textId="77777777" w:rsidR="009D5DD0" w:rsidRPr="00885E85" w:rsidRDefault="009D5DD0" w:rsidP="00E247DD">
            <w:pPr>
              <w:jc w:val="center"/>
              <w:rPr>
                <w:rFonts w:ascii="Times New Roman" w:hAnsi="Times New Roman"/>
                <w:color w:val="9C0006"/>
                <w:sz w:val="20"/>
                <w:szCs w:val="20"/>
              </w:rPr>
            </w:pPr>
            <w:r>
              <w:rPr>
                <w:rFonts w:ascii="Times New Roman" w:hAnsi="Times New Roman"/>
                <w:color w:val="9C0006"/>
                <w:sz w:val="20"/>
              </w:rPr>
              <w:t>15.8</w:t>
            </w:r>
          </w:p>
        </w:tc>
        <w:tc>
          <w:tcPr>
            <w:tcW w:w="406" w:type="pct"/>
            <w:tcBorders>
              <w:top w:val="nil"/>
              <w:left w:val="nil"/>
              <w:bottom w:val="single" w:sz="4" w:space="0" w:color="auto"/>
              <w:right w:val="nil"/>
            </w:tcBorders>
            <w:shd w:val="clear" w:color="auto" w:fill="auto"/>
            <w:noWrap/>
            <w:vAlign w:val="center"/>
            <w:hideMark/>
          </w:tcPr>
          <w:p w14:paraId="0173EEB4" w14:textId="77777777" w:rsidR="009D5DD0" w:rsidRPr="00885E85" w:rsidRDefault="009D5DD0" w:rsidP="00E247DD">
            <w:pPr>
              <w:jc w:val="center"/>
              <w:rPr>
                <w:rFonts w:ascii="Times New Roman" w:hAnsi="Times New Roman"/>
                <w:color w:val="000000"/>
                <w:sz w:val="20"/>
                <w:szCs w:val="20"/>
              </w:rPr>
            </w:pPr>
            <w:r>
              <w:rPr>
                <w:rFonts w:ascii="Times New Roman" w:hAnsi="Times New Roman"/>
                <w:color w:val="000000"/>
                <w:sz w:val="20"/>
              </w:rPr>
              <w:t>78.1</w:t>
            </w:r>
          </w:p>
        </w:tc>
      </w:tr>
      <w:tr w:rsidR="009D5DD0" w:rsidRPr="002252AD" w14:paraId="173F3F2D" w14:textId="77777777" w:rsidTr="00E247DD">
        <w:trPr>
          <w:trHeight w:val="320"/>
        </w:trPr>
        <w:tc>
          <w:tcPr>
            <w:tcW w:w="374" w:type="pct"/>
            <w:tcBorders>
              <w:top w:val="nil"/>
              <w:left w:val="nil"/>
              <w:bottom w:val="single" w:sz="4" w:space="0" w:color="auto"/>
              <w:right w:val="single" w:sz="4" w:space="0" w:color="auto"/>
            </w:tcBorders>
            <w:shd w:val="clear" w:color="auto" w:fill="auto"/>
            <w:noWrap/>
            <w:vAlign w:val="center"/>
            <w:hideMark/>
          </w:tcPr>
          <w:p w14:paraId="298228D2" w14:textId="77777777" w:rsidR="009D5DD0" w:rsidRPr="00885E85" w:rsidRDefault="009D5DD0" w:rsidP="00385866">
            <w:pPr>
              <w:rPr>
                <w:rFonts w:ascii="Times New Roman" w:hAnsi="Times New Roman"/>
                <w:b/>
                <w:bCs/>
                <w:color w:val="000000"/>
                <w:sz w:val="20"/>
                <w:szCs w:val="20"/>
              </w:rPr>
            </w:pPr>
            <w:r>
              <w:rPr>
                <w:rFonts w:ascii="Times New Roman" w:hAnsi="Times New Roman"/>
                <w:b/>
                <w:color w:val="000000"/>
                <w:sz w:val="20"/>
              </w:rPr>
              <w:t>2013</w:t>
            </w:r>
          </w:p>
        </w:tc>
        <w:tc>
          <w:tcPr>
            <w:tcW w:w="3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64DC4E" w14:textId="77777777" w:rsidR="009D5DD0" w:rsidRPr="00885E85" w:rsidRDefault="009D5DD0" w:rsidP="00E247DD">
            <w:pPr>
              <w:jc w:val="center"/>
              <w:rPr>
                <w:rFonts w:ascii="Times New Roman" w:hAnsi="Times New Roman"/>
                <w:color w:val="00B050"/>
                <w:sz w:val="20"/>
                <w:szCs w:val="20"/>
              </w:rPr>
            </w:pPr>
            <w:r>
              <w:rPr>
                <w:rFonts w:ascii="Times New Roman" w:hAnsi="Times New Roman"/>
                <w:color w:val="00B050"/>
                <w:sz w:val="20"/>
              </w:rPr>
              <w:t>68.5</w:t>
            </w:r>
          </w:p>
        </w:tc>
        <w:tc>
          <w:tcPr>
            <w:tcW w:w="407" w:type="pct"/>
            <w:tcBorders>
              <w:top w:val="nil"/>
              <w:left w:val="nil"/>
              <w:bottom w:val="single" w:sz="4" w:space="0" w:color="auto"/>
              <w:right w:val="single" w:sz="4" w:space="0" w:color="auto"/>
            </w:tcBorders>
            <w:shd w:val="clear" w:color="auto" w:fill="auto"/>
            <w:noWrap/>
            <w:vAlign w:val="center"/>
            <w:hideMark/>
          </w:tcPr>
          <w:p w14:paraId="156451EA" w14:textId="77777777" w:rsidR="009D5DD0" w:rsidRPr="00885E85" w:rsidRDefault="009D5DD0" w:rsidP="00E247DD">
            <w:pPr>
              <w:jc w:val="center"/>
              <w:rPr>
                <w:rFonts w:ascii="Times New Roman" w:hAnsi="Times New Roman"/>
                <w:color w:val="000000"/>
                <w:sz w:val="20"/>
                <w:szCs w:val="20"/>
              </w:rPr>
            </w:pPr>
            <w:r>
              <w:rPr>
                <w:rFonts w:ascii="Times New Roman" w:hAnsi="Times New Roman"/>
                <w:color w:val="000000"/>
                <w:sz w:val="20"/>
              </w:rPr>
              <w:t>16.8</w:t>
            </w:r>
          </w:p>
        </w:tc>
        <w:tc>
          <w:tcPr>
            <w:tcW w:w="3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A72C9D" w14:textId="77777777" w:rsidR="009D5DD0" w:rsidRPr="00885E85" w:rsidRDefault="009D5DD0" w:rsidP="00E247DD">
            <w:pPr>
              <w:jc w:val="center"/>
              <w:rPr>
                <w:rFonts w:ascii="Times New Roman" w:hAnsi="Times New Roman"/>
                <w:color w:val="00B050"/>
                <w:sz w:val="20"/>
                <w:szCs w:val="20"/>
              </w:rPr>
            </w:pPr>
            <w:r>
              <w:rPr>
                <w:rFonts w:ascii="Times New Roman" w:hAnsi="Times New Roman"/>
                <w:color w:val="00B050"/>
                <w:sz w:val="20"/>
              </w:rPr>
              <w:t>7.0</w:t>
            </w:r>
          </w:p>
        </w:tc>
        <w:tc>
          <w:tcPr>
            <w:tcW w:w="407" w:type="pct"/>
            <w:tcBorders>
              <w:top w:val="nil"/>
              <w:left w:val="nil"/>
              <w:bottom w:val="single" w:sz="4" w:space="0" w:color="auto"/>
              <w:right w:val="single" w:sz="4" w:space="0" w:color="auto"/>
            </w:tcBorders>
            <w:shd w:val="clear" w:color="auto" w:fill="auto"/>
            <w:noWrap/>
            <w:vAlign w:val="center"/>
            <w:hideMark/>
          </w:tcPr>
          <w:p w14:paraId="5C6767A0" w14:textId="77777777" w:rsidR="009D5DD0" w:rsidRPr="00885E85" w:rsidRDefault="009D5DD0" w:rsidP="00E247DD">
            <w:pPr>
              <w:jc w:val="center"/>
              <w:rPr>
                <w:rFonts w:ascii="Times New Roman" w:hAnsi="Times New Roman"/>
                <w:color w:val="000000"/>
                <w:sz w:val="20"/>
                <w:szCs w:val="20"/>
              </w:rPr>
            </w:pPr>
            <w:r>
              <w:rPr>
                <w:rFonts w:ascii="Times New Roman" w:hAnsi="Times New Roman"/>
                <w:color w:val="000000"/>
                <w:sz w:val="20"/>
              </w:rPr>
              <w:t>2.0</w:t>
            </w:r>
          </w:p>
        </w:tc>
        <w:tc>
          <w:tcPr>
            <w:tcW w:w="3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FF4C88" w14:textId="77777777" w:rsidR="009D5DD0" w:rsidRPr="00885E85" w:rsidRDefault="009D5DD0" w:rsidP="00E247DD">
            <w:pPr>
              <w:jc w:val="center"/>
              <w:rPr>
                <w:rFonts w:ascii="Times New Roman" w:hAnsi="Times New Roman"/>
                <w:color w:val="9C0006"/>
                <w:sz w:val="20"/>
                <w:szCs w:val="20"/>
              </w:rPr>
            </w:pPr>
            <w:r>
              <w:rPr>
                <w:rFonts w:ascii="Times New Roman" w:hAnsi="Times New Roman"/>
                <w:color w:val="9C0006"/>
                <w:sz w:val="20"/>
              </w:rPr>
              <w:t>1.2</w:t>
            </w:r>
          </w:p>
        </w:tc>
        <w:tc>
          <w:tcPr>
            <w:tcW w:w="407" w:type="pct"/>
            <w:tcBorders>
              <w:top w:val="nil"/>
              <w:left w:val="nil"/>
              <w:bottom w:val="single" w:sz="4" w:space="0" w:color="auto"/>
              <w:right w:val="single" w:sz="4" w:space="0" w:color="auto"/>
            </w:tcBorders>
            <w:shd w:val="clear" w:color="auto" w:fill="auto"/>
            <w:noWrap/>
            <w:vAlign w:val="center"/>
            <w:hideMark/>
          </w:tcPr>
          <w:p w14:paraId="2E27A3FF" w14:textId="77777777" w:rsidR="009D5DD0" w:rsidRPr="00885E85" w:rsidRDefault="009D5DD0" w:rsidP="00E247DD">
            <w:pPr>
              <w:jc w:val="center"/>
              <w:rPr>
                <w:rFonts w:ascii="Times New Roman" w:hAnsi="Times New Roman"/>
                <w:color w:val="000000"/>
                <w:sz w:val="20"/>
                <w:szCs w:val="20"/>
              </w:rPr>
            </w:pPr>
            <w:r>
              <w:rPr>
                <w:rFonts w:ascii="Times New Roman" w:hAnsi="Times New Roman"/>
                <w:color w:val="000000"/>
                <w:sz w:val="20"/>
              </w:rPr>
              <w:t>2.9</w:t>
            </w:r>
          </w:p>
        </w:tc>
        <w:tc>
          <w:tcPr>
            <w:tcW w:w="3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CB3605" w14:textId="77777777" w:rsidR="009D5DD0" w:rsidRPr="00885E85" w:rsidRDefault="009D5DD0" w:rsidP="00E247DD">
            <w:pPr>
              <w:jc w:val="center"/>
              <w:rPr>
                <w:rFonts w:ascii="Times New Roman" w:hAnsi="Times New Roman"/>
                <w:color w:val="9C0006"/>
                <w:sz w:val="20"/>
                <w:szCs w:val="20"/>
              </w:rPr>
            </w:pPr>
            <w:r>
              <w:rPr>
                <w:rFonts w:ascii="Times New Roman" w:hAnsi="Times New Roman"/>
                <w:color w:val="9C0006"/>
                <w:sz w:val="20"/>
              </w:rPr>
              <w:t>0.0</w:t>
            </w:r>
          </w:p>
        </w:tc>
        <w:tc>
          <w:tcPr>
            <w:tcW w:w="407" w:type="pct"/>
            <w:tcBorders>
              <w:top w:val="nil"/>
              <w:left w:val="nil"/>
              <w:bottom w:val="single" w:sz="4" w:space="0" w:color="auto"/>
              <w:right w:val="single" w:sz="4" w:space="0" w:color="auto"/>
            </w:tcBorders>
            <w:shd w:val="clear" w:color="auto" w:fill="auto"/>
            <w:noWrap/>
            <w:vAlign w:val="center"/>
            <w:hideMark/>
          </w:tcPr>
          <w:p w14:paraId="2BE42320" w14:textId="77777777" w:rsidR="009D5DD0" w:rsidRPr="00885E85" w:rsidRDefault="009D5DD0" w:rsidP="00E247DD">
            <w:pPr>
              <w:jc w:val="center"/>
              <w:rPr>
                <w:rFonts w:ascii="Times New Roman" w:hAnsi="Times New Roman"/>
                <w:color w:val="000000"/>
                <w:sz w:val="20"/>
                <w:szCs w:val="20"/>
              </w:rPr>
            </w:pPr>
            <w:r>
              <w:rPr>
                <w:rFonts w:ascii="Times New Roman" w:hAnsi="Times New Roman"/>
                <w:color w:val="000000"/>
                <w:sz w:val="20"/>
              </w:rPr>
              <w:t>0.7</w:t>
            </w:r>
          </w:p>
        </w:tc>
        <w:tc>
          <w:tcPr>
            <w:tcW w:w="3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245D23" w14:textId="77777777" w:rsidR="009D5DD0" w:rsidRPr="00885E85" w:rsidRDefault="009D5DD0" w:rsidP="00E247DD">
            <w:pPr>
              <w:jc w:val="center"/>
              <w:rPr>
                <w:rFonts w:ascii="Times New Roman" w:hAnsi="Times New Roman"/>
                <w:color w:val="00B050"/>
                <w:sz w:val="20"/>
                <w:szCs w:val="20"/>
              </w:rPr>
            </w:pPr>
            <w:r>
              <w:rPr>
                <w:rFonts w:ascii="Times New Roman" w:hAnsi="Times New Roman"/>
                <w:color w:val="00B050"/>
                <w:sz w:val="20"/>
              </w:rPr>
              <w:t>76.6</w:t>
            </w:r>
          </w:p>
        </w:tc>
        <w:tc>
          <w:tcPr>
            <w:tcW w:w="407" w:type="pct"/>
            <w:tcBorders>
              <w:top w:val="nil"/>
              <w:left w:val="nil"/>
              <w:bottom w:val="single" w:sz="4" w:space="0" w:color="auto"/>
              <w:right w:val="single" w:sz="4" w:space="0" w:color="auto"/>
            </w:tcBorders>
            <w:shd w:val="clear" w:color="auto" w:fill="auto"/>
            <w:noWrap/>
            <w:vAlign w:val="center"/>
            <w:hideMark/>
          </w:tcPr>
          <w:p w14:paraId="1015F1BE" w14:textId="77777777" w:rsidR="009D5DD0" w:rsidRPr="00885E85" w:rsidRDefault="009D5DD0" w:rsidP="00E247DD">
            <w:pPr>
              <w:jc w:val="center"/>
              <w:rPr>
                <w:rFonts w:ascii="Times New Roman" w:hAnsi="Times New Roman"/>
                <w:color w:val="000000"/>
                <w:sz w:val="20"/>
                <w:szCs w:val="20"/>
              </w:rPr>
            </w:pPr>
            <w:r>
              <w:rPr>
                <w:rFonts w:ascii="Times New Roman" w:hAnsi="Times New Roman"/>
                <w:color w:val="000000"/>
                <w:sz w:val="20"/>
              </w:rPr>
              <w:t>22.8</w:t>
            </w:r>
          </w:p>
        </w:tc>
        <w:tc>
          <w:tcPr>
            <w:tcW w:w="3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E7BA53" w14:textId="77777777" w:rsidR="009D5DD0" w:rsidRPr="00885E85" w:rsidRDefault="009D5DD0" w:rsidP="00E247DD">
            <w:pPr>
              <w:jc w:val="center"/>
              <w:rPr>
                <w:rFonts w:ascii="Times New Roman" w:hAnsi="Times New Roman"/>
                <w:color w:val="9C0006"/>
                <w:sz w:val="20"/>
                <w:szCs w:val="20"/>
              </w:rPr>
            </w:pPr>
            <w:r>
              <w:rPr>
                <w:rFonts w:ascii="Times New Roman" w:hAnsi="Times New Roman"/>
                <w:color w:val="9C0006"/>
                <w:sz w:val="20"/>
              </w:rPr>
              <w:t>21.3</w:t>
            </w:r>
          </w:p>
        </w:tc>
        <w:tc>
          <w:tcPr>
            <w:tcW w:w="406" w:type="pct"/>
            <w:tcBorders>
              <w:top w:val="nil"/>
              <w:left w:val="nil"/>
              <w:bottom w:val="single" w:sz="4" w:space="0" w:color="auto"/>
              <w:right w:val="nil"/>
            </w:tcBorders>
            <w:shd w:val="clear" w:color="auto" w:fill="auto"/>
            <w:noWrap/>
            <w:vAlign w:val="center"/>
            <w:hideMark/>
          </w:tcPr>
          <w:p w14:paraId="38E3D3C0" w14:textId="77777777" w:rsidR="009D5DD0" w:rsidRPr="00885E85" w:rsidRDefault="009D5DD0" w:rsidP="00E247DD">
            <w:pPr>
              <w:jc w:val="center"/>
              <w:rPr>
                <w:rFonts w:ascii="Times New Roman" w:hAnsi="Times New Roman"/>
                <w:color w:val="000000"/>
                <w:sz w:val="20"/>
                <w:szCs w:val="20"/>
              </w:rPr>
            </w:pPr>
            <w:r>
              <w:rPr>
                <w:rFonts w:ascii="Times New Roman" w:hAnsi="Times New Roman"/>
                <w:color w:val="000000"/>
                <w:sz w:val="20"/>
              </w:rPr>
              <w:t>77.3</w:t>
            </w:r>
          </w:p>
        </w:tc>
      </w:tr>
      <w:tr w:rsidR="009D5DD0" w:rsidRPr="002252AD" w14:paraId="55A37369" w14:textId="77777777" w:rsidTr="00E247DD">
        <w:trPr>
          <w:trHeight w:val="320"/>
        </w:trPr>
        <w:tc>
          <w:tcPr>
            <w:tcW w:w="374" w:type="pct"/>
            <w:tcBorders>
              <w:top w:val="nil"/>
              <w:left w:val="nil"/>
              <w:bottom w:val="single" w:sz="4" w:space="0" w:color="auto"/>
              <w:right w:val="single" w:sz="4" w:space="0" w:color="auto"/>
            </w:tcBorders>
            <w:shd w:val="clear" w:color="auto" w:fill="auto"/>
            <w:noWrap/>
            <w:vAlign w:val="center"/>
            <w:hideMark/>
          </w:tcPr>
          <w:p w14:paraId="70674D54" w14:textId="77777777" w:rsidR="009D5DD0" w:rsidRPr="00885E85" w:rsidRDefault="009D5DD0" w:rsidP="00385866">
            <w:pPr>
              <w:rPr>
                <w:rFonts w:ascii="Times New Roman" w:hAnsi="Times New Roman"/>
                <w:b/>
                <w:bCs/>
                <w:color w:val="000000"/>
                <w:sz w:val="20"/>
                <w:szCs w:val="20"/>
              </w:rPr>
            </w:pPr>
            <w:r>
              <w:rPr>
                <w:rFonts w:ascii="Times New Roman" w:hAnsi="Times New Roman"/>
                <w:b/>
                <w:color w:val="000000"/>
                <w:sz w:val="20"/>
              </w:rPr>
              <w:t>2014</w:t>
            </w:r>
          </w:p>
        </w:tc>
        <w:tc>
          <w:tcPr>
            <w:tcW w:w="3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0E8142" w14:textId="77777777" w:rsidR="009D5DD0" w:rsidRPr="00885E85" w:rsidRDefault="009D5DD0" w:rsidP="00E247DD">
            <w:pPr>
              <w:jc w:val="center"/>
              <w:rPr>
                <w:rFonts w:ascii="Times New Roman" w:hAnsi="Times New Roman"/>
                <w:color w:val="00B050"/>
                <w:sz w:val="20"/>
                <w:szCs w:val="20"/>
              </w:rPr>
            </w:pPr>
            <w:r>
              <w:rPr>
                <w:rFonts w:ascii="Times New Roman" w:hAnsi="Times New Roman"/>
                <w:color w:val="00B050"/>
                <w:sz w:val="20"/>
              </w:rPr>
              <w:t>63.2</w:t>
            </w:r>
          </w:p>
        </w:tc>
        <w:tc>
          <w:tcPr>
            <w:tcW w:w="407" w:type="pct"/>
            <w:tcBorders>
              <w:top w:val="nil"/>
              <w:left w:val="nil"/>
              <w:bottom w:val="single" w:sz="4" w:space="0" w:color="auto"/>
              <w:right w:val="single" w:sz="4" w:space="0" w:color="auto"/>
            </w:tcBorders>
            <w:shd w:val="clear" w:color="auto" w:fill="auto"/>
            <w:noWrap/>
            <w:vAlign w:val="center"/>
            <w:hideMark/>
          </w:tcPr>
          <w:p w14:paraId="358190A0" w14:textId="77777777" w:rsidR="009D5DD0" w:rsidRPr="00885E85" w:rsidRDefault="009D5DD0" w:rsidP="00E247DD">
            <w:pPr>
              <w:jc w:val="center"/>
              <w:rPr>
                <w:rFonts w:ascii="Times New Roman" w:hAnsi="Times New Roman"/>
                <w:color w:val="000000"/>
                <w:sz w:val="20"/>
                <w:szCs w:val="20"/>
              </w:rPr>
            </w:pPr>
            <w:r>
              <w:rPr>
                <w:rFonts w:ascii="Times New Roman" w:hAnsi="Times New Roman"/>
                <w:color w:val="000000"/>
                <w:sz w:val="20"/>
              </w:rPr>
              <w:t>16.8</w:t>
            </w:r>
          </w:p>
        </w:tc>
        <w:tc>
          <w:tcPr>
            <w:tcW w:w="3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962730" w14:textId="77777777" w:rsidR="009D5DD0" w:rsidRPr="00885E85" w:rsidRDefault="009D5DD0" w:rsidP="00E247DD">
            <w:pPr>
              <w:jc w:val="center"/>
              <w:rPr>
                <w:rFonts w:ascii="Times New Roman" w:hAnsi="Times New Roman"/>
                <w:color w:val="00B050"/>
                <w:sz w:val="20"/>
                <w:szCs w:val="20"/>
              </w:rPr>
            </w:pPr>
            <w:r>
              <w:rPr>
                <w:rFonts w:ascii="Times New Roman" w:hAnsi="Times New Roman"/>
                <w:color w:val="00B050"/>
                <w:sz w:val="20"/>
              </w:rPr>
              <w:t>7.6</w:t>
            </w:r>
          </w:p>
        </w:tc>
        <w:tc>
          <w:tcPr>
            <w:tcW w:w="407" w:type="pct"/>
            <w:tcBorders>
              <w:top w:val="nil"/>
              <w:left w:val="nil"/>
              <w:bottom w:val="single" w:sz="4" w:space="0" w:color="auto"/>
              <w:right w:val="single" w:sz="4" w:space="0" w:color="auto"/>
            </w:tcBorders>
            <w:shd w:val="clear" w:color="auto" w:fill="auto"/>
            <w:noWrap/>
            <w:vAlign w:val="center"/>
            <w:hideMark/>
          </w:tcPr>
          <w:p w14:paraId="096A26D8" w14:textId="77777777" w:rsidR="009D5DD0" w:rsidRPr="00885E85" w:rsidRDefault="009D5DD0" w:rsidP="00E247DD">
            <w:pPr>
              <w:jc w:val="center"/>
              <w:rPr>
                <w:rFonts w:ascii="Times New Roman" w:hAnsi="Times New Roman"/>
                <w:color w:val="000000"/>
                <w:sz w:val="20"/>
                <w:szCs w:val="20"/>
              </w:rPr>
            </w:pPr>
            <w:r>
              <w:rPr>
                <w:rFonts w:ascii="Times New Roman" w:hAnsi="Times New Roman"/>
                <w:color w:val="000000"/>
                <w:sz w:val="20"/>
              </w:rPr>
              <w:t>2.1</w:t>
            </w:r>
          </w:p>
        </w:tc>
        <w:tc>
          <w:tcPr>
            <w:tcW w:w="3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60EE1B" w14:textId="77777777" w:rsidR="009D5DD0" w:rsidRPr="00885E85" w:rsidRDefault="009D5DD0" w:rsidP="00E247DD">
            <w:pPr>
              <w:jc w:val="center"/>
              <w:rPr>
                <w:rFonts w:ascii="Times New Roman" w:hAnsi="Times New Roman"/>
                <w:color w:val="9C0006"/>
                <w:sz w:val="20"/>
                <w:szCs w:val="20"/>
              </w:rPr>
            </w:pPr>
            <w:r>
              <w:rPr>
                <w:rFonts w:ascii="Times New Roman" w:hAnsi="Times New Roman"/>
                <w:color w:val="9C0006"/>
                <w:sz w:val="20"/>
              </w:rPr>
              <w:t>2.1</w:t>
            </w:r>
          </w:p>
        </w:tc>
        <w:tc>
          <w:tcPr>
            <w:tcW w:w="407" w:type="pct"/>
            <w:tcBorders>
              <w:top w:val="nil"/>
              <w:left w:val="nil"/>
              <w:bottom w:val="single" w:sz="4" w:space="0" w:color="auto"/>
              <w:right w:val="single" w:sz="4" w:space="0" w:color="auto"/>
            </w:tcBorders>
            <w:shd w:val="clear" w:color="auto" w:fill="auto"/>
            <w:noWrap/>
            <w:vAlign w:val="center"/>
            <w:hideMark/>
          </w:tcPr>
          <w:p w14:paraId="499B6025" w14:textId="77777777" w:rsidR="009D5DD0" w:rsidRPr="00885E85" w:rsidRDefault="009D5DD0" w:rsidP="00E247DD">
            <w:pPr>
              <w:jc w:val="center"/>
              <w:rPr>
                <w:rFonts w:ascii="Times New Roman" w:hAnsi="Times New Roman"/>
                <w:color w:val="000000"/>
                <w:sz w:val="20"/>
                <w:szCs w:val="20"/>
              </w:rPr>
            </w:pPr>
            <w:r>
              <w:rPr>
                <w:rFonts w:ascii="Times New Roman" w:hAnsi="Times New Roman"/>
                <w:color w:val="000000"/>
                <w:sz w:val="20"/>
              </w:rPr>
              <w:t>3.2</w:t>
            </w:r>
          </w:p>
        </w:tc>
        <w:tc>
          <w:tcPr>
            <w:tcW w:w="3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C43937" w14:textId="77777777" w:rsidR="009D5DD0" w:rsidRPr="00885E85" w:rsidRDefault="009D5DD0" w:rsidP="00E247DD">
            <w:pPr>
              <w:jc w:val="center"/>
              <w:rPr>
                <w:rFonts w:ascii="Times New Roman" w:hAnsi="Times New Roman"/>
                <w:color w:val="9C0006"/>
                <w:sz w:val="20"/>
                <w:szCs w:val="20"/>
              </w:rPr>
            </w:pPr>
            <w:r>
              <w:rPr>
                <w:rFonts w:ascii="Times New Roman" w:hAnsi="Times New Roman"/>
                <w:color w:val="9C0006"/>
                <w:sz w:val="20"/>
              </w:rPr>
              <w:t>0.0</w:t>
            </w:r>
          </w:p>
        </w:tc>
        <w:tc>
          <w:tcPr>
            <w:tcW w:w="407" w:type="pct"/>
            <w:tcBorders>
              <w:top w:val="nil"/>
              <w:left w:val="nil"/>
              <w:bottom w:val="single" w:sz="4" w:space="0" w:color="auto"/>
              <w:right w:val="single" w:sz="4" w:space="0" w:color="auto"/>
            </w:tcBorders>
            <w:shd w:val="clear" w:color="auto" w:fill="auto"/>
            <w:noWrap/>
            <w:vAlign w:val="center"/>
            <w:hideMark/>
          </w:tcPr>
          <w:p w14:paraId="4AD3E1A6" w14:textId="77777777" w:rsidR="009D5DD0" w:rsidRPr="00885E85" w:rsidRDefault="009D5DD0" w:rsidP="00E247DD">
            <w:pPr>
              <w:jc w:val="center"/>
              <w:rPr>
                <w:rFonts w:ascii="Times New Roman" w:hAnsi="Times New Roman"/>
                <w:color w:val="000000"/>
                <w:sz w:val="20"/>
                <w:szCs w:val="20"/>
              </w:rPr>
            </w:pPr>
            <w:r>
              <w:rPr>
                <w:rFonts w:ascii="Times New Roman" w:hAnsi="Times New Roman"/>
                <w:color w:val="000000"/>
                <w:sz w:val="20"/>
              </w:rPr>
              <w:t>0.9</w:t>
            </w:r>
          </w:p>
        </w:tc>
        <w:tc>
          <w:tcPr>
            <w:tcW w:w="3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848202" w14:textId="77777777" w:rsidR="009D5DD0" w:rsidRPr="00885E85" w:rsidRDefault="009D5DD0" w:rsidP="00E247DD">
            <w:pPr>
              <w:jc w:val="center"/>
              <w:rPr>
                <w:rFonts w:ascii="Times New Roman" w:hAnsi="Times New Roman"/>
                <w:color w:val="00B050"/>
                <w:sz w:val="20"/>
                <w:szCs w:val="20"/>
              </w:rPr>
            </w:pPr>
            <w:r>
              <w:rPr>
                <w:rFonts w:ascii="Times New Roman" w:hAnsi="Times New Roman"/>
                <w:color w:val="00B050"/>
                <w:sz w:val="20"/>
              </w:rPr>
              <w:t>72.9</w:t>
            </w:r>
          </w:p>
        </w:tc>
        <w:tc>
          <w:tcPr>
            <w:tcW w:w="407" w:type="pct"/>
            <w:tcBorders>
              <w:top w:val="nil"/>
              <w:left w:val="nil"/>
              <w:bottom w:val="single" w:sz="4" w:space="0" w:color="auto"/>
              <w:right w:val="single" w:sz="4" w:space="0" w:color="auto"/>
            </w:tcBorders>
            <w:shd w:val="clear" w:color="auto" w:fill="auto"/>
            <w:noWrap/>
            <w:vAlign w:val="center"/>
            <w:hideMark/>
          </w:tcPr>
          <w:p w14:paraId="1F7C655D" w14:textId="77777777" w:rsidR="009D5DD0" w:rsidRPr="00885E85" w:rsidRDefault="009D5DD0" w:rsidP="00E247DD">
            <w:pPr>
              <w:jc w:val="center"/>
              <w:rPr>
                <w:rFonts w:ascii="Times New Roman" w:hAnsi="Times New Roman"/>
                <w:color w:val="000000"/>
                <w:sz w:val="20"/>
                <w:szCs w:val="20"/>
              </w:rPr>
            </w:pPr>
            <w:r>
              <w:rPr>
                <w:rFonts w:ascii="Times New Roman" w:hAnsi="Times New Roman"/>
                <w:color w:val="000000"/>
                <w:sz w:val="20"/>
              </w:rPr>
              <w:t>23.5</w:t>
            </w:r>
          </w:p>
        </w:tc>
        <w:tc>
          <w:tcPr>
            <w:tcW w:w="3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496413" w14:textId="77777777" w:rsidR="009D5DD0" w:rsidRPr="00885E85" w:rsidRDefault="009D5DD0" w:rsidP="00E247DD">
            <w:pPr>
              <w:jc w:val="center"/>
              <w:rPr>
                <w:rFonts w:ascii="Times New Roman" w:hAnsi="Times New Roman"/>
                <w:color w:val="9C0006"/>
                <w:sz w:val="20"/>
                <w:szCs w:val="20"/>
              </w:rPr>
            </w:pPr>
            <w:r>
              <w:rPr>
                <w:rFonts w:ascii="Times New Roman" w:hAnsi="Times New Roman"/>
                <w:color w:val="9C0006"/>
                <w:sz w:val="20"/>
              </w:rPr>
              <w:t>24.8</w:t>
            </w:r>
          </w:p>
        </w:tc>
        <w:tc>
          <w:tcPr>
            <w:tcW w:w="406" w:type="pct"/>
            <w:tcBorders>
              <w:top w:val="nil"/>
              <w:left w:val="nil"/>
              <w:bottom w:val="single" w:sz="4" w:space="0" w:color="auto"/>
              <w:right w:val="nil"/>
            </w:tcBorders>
            <w:shd w:val="clear" w:color="auto" w:fill="auto"/>
            <w:noWrap/>
            <w:vAlign w:val="center"/>
            <w:hideMark/>
          </w:tcPr>
          <w:p w14:paraId="5490E4B9" w14:textId="77777777" w:rsidR="009D5DD0" w:rsidRPr="00885E85" w:rsidRDefault="009D5DD0" w:rsidP="00E247DD">
            <w:pPr>
              <w:jc w:val="center"/>
              <w:rPr>
                <w:rFonts w:ascii="Times New Roman" w:hAnsi="Times New Roman"/>
                <w:color w:val="000000"/>
                <w:sz w:val="20"/>
                <w:szCs w:val="20"/>
              </w:rPr>
            </w:pPr>
            <w:r>
              <w:rPr>
                <w:rFonts w:ascii="Times New Roman" w:hAnsi="Times New Roman"/>
                <w:color w:val="000000"/>
                <w:sz w:val="20"/>
              </w:rPr>
              <w:t>76.6</w:t>
            </w:r>
          </w:p>
        </w:tc>
      </w:tr>
      <w:tr w:rsidR="009D5DD0" w:rsidRPr="002252AD" w14:paraId="26E5AB91" w14:textId="77777777" w:rsidTr="00E247DD">
        <w:trPr>
          <w:trHeight w:val="320"/>
        </w:trPr>
        <w:tc>
          <w:tcPr>
            <w:tcW w:w="374" w:type="pct"/>
            <w:tcBorders>
              <w:top w:val="nil"/>
              <w:left w:val="nil"/>
              <w:bottom w:val="single" w:sz="4" w:space="0" w:color="auto"/>
              <w:right w:val="single" w:sz="4" w:space="0" w:color="auto"/>
            </w:tcBorders>
            <w:shd w:val="clear" w:color="auto" w:fill="auto"/>
            <w:noWrap/>
            <w:vAlign w:val="center"/>
            <w:hideMark/>
          </w:tcPr>
          <w:p w14:paraId="7A8F6AB1" w14:textId="77777777" w:rsidR="009D5DD0" w:rsidRPr="00885E85" w:rsidRDefault="009D5DD0" w:rsidP="00385866">
            <w:pPr>
              <w:rPr>
                <w:rFonts w:ascii="Times New Roman" w:hAnsi="Times New Roman"/>
                <w:b/>
                <w:bCs/>
                <w:color w:val="000000"/>
                <w:sz w:val="20"/>
                <w:szCs w:val="20"/>
              </w:rPr>
            </w:pPr>
            <w:r>
              <w:rPr>
                <w:rFonts w:ascii="Times New Roman" w:hAnsi="Times New Roman"/>
                <w:b/>
                <w:color w:val="000000"/>
                <w:sz w:val="20"/>
              </w:rPr>
              <w:t>2015</w:t>
            </w:r>
          </w:p>
        </w:tc>
        <w:tc>
          <w:tcPr>
            <w:tcW w:w="3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FD098D" w14:textId="77777777" w:rsidR="009D5DD0" w:rsidRPr="00885E85" w:rsidRDefault="009D5DD0" w:rsidP="00E247DD">
            <w:pPr>
              <w:jc w:val="center"/>
              <w:rPr>
                <w:rFonts w:ascii="Times New Roman" w:hAnsi="Times New Roman"/>
                <w:color w:val="00B050"/>
                <w:sz w:val="20"/>
                <w:szCs w:val="20"/>
              </w:rPr>
            </w:pPr>
            <w:r>
              <w:rPr>
                <w:rFonts w:ascii="Times New Roman" w:hAnsi="Times New Roman"/>
                <w:color w:val="00B050"/>
                <w:sz w:val="20"/>
              </w:rPr>
              <w:t>61.9</w:t>
            </w:r>
          </w:p>
        </w:tc>
        <w:tc>
          <w:tcPr>
            <w:tcW w:w="407" w:type="pct"/>
            <w:tcBorders>
              <w:top w:val="nil"/>
              <w:left w:val="nil"/>
              <w:bottom w:val="single" w:sz="4" w:space="0" w:color="auto"/>
              <w:right w:val="single" w:sz="4" w:space="0" w:color="auto"/>
            </w:tcBorders>
            <w:shd w:val="clear" w:color="auto" w:fill="auto"/>
            <w:noWrap/>
            <w:vAlign w:val="center"/>
            <w:hideMark/>
          </w:tcPr>
          <w:p w14:paraId="08644CCE" w14:textId="77777777" w:rsidR="009D5DD0" w:rsidRPr="00885E85" w:rsidRDefault="009D5DD0" w:rsidP="00E247DD">
            <w:pPr>
              <w:jc w:val="center"/>
              <w:rPr>
                <w:rFonts w:ascii="Times New Roman" w:hAnsi="Times New Roman"/>
                <w:color w:val="000000"/>
                <w:sz w:val="20"/>
                <w:szCs w:val="20"/>
              </w:rPr>
            </w:pPr>
            <w:r>
              <w:rPr>
                <w:rFonts w:ascii="Times New Roman" w:hAnsi="Times New Roman"/>
                <w:color w:val="000000"/>
                <w:sz w:val="20"/>
              </w:rPr>
              <w:t>16.6</w:t>
            </w:r>
          </w:p>
        </w:tc>
        <w:tc>
          <w:tcPr>
            <w:tcW w:w="3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E32194" w14:textId="77777777" w:rsidR="009D5DD0" w:rsidRPr="00885E85" w:rsidRDefault="009D5DD0" w:rsidP="00E247DD">
            <w:pPr>
              <w:jc w:val="center"/>
              <w:rPr>
                <w:rFonts w:ascii="Times New Roman" w:hAnsi="Times New Roman"/>
                <w:color w:val="00B050"/>
                <w:sz w:val="20"/>
                <w:szCs w:val="20"/>
              </w:rPr>
            </w:pPr>
            <w:r>
              <w:rPr>
                <w:rFonts w:ascii="Times New Roman" w:hAnsi="Times New Roman"/>
                <w:color w:val="00B050"/>
                <w:sz w:val="20"/>
              </w:rPr>
              <w:t>8.2</w:t>
            </w:r>
          </w:p>
        </w:tc>
        <w:tc>
          <w:tcPr>
            <w:tcW w:w="407" w:type="pct"/>
            <w:tcBorders>
              <w:top w:val="nil"/>
              <w:left w:val="nil"/>
              <w:bottom w:val="single" w:sz="4" w:space="0" w:color="auto"/>
              <w:right w:val="single" w:sz="4" w:space="0" w:color="auto"/>
            </w:tcBorders>
            <w:shd w:val="clear" w:color="auto" w:fill="auto"/>
            <w:noWrap/>
            <w:vAlign w:val="center"/>
            <w:hideMark/>
          </w:tcPr>
          <w:p w14:paraId="468BDAB8" w14:textId="77777777" w:rsidR="009D5DD0" w:rsidRPr="00885E85" w:rsidRDefault="009D5DD0" w:rsidP="00E247DD">
            <w:pPr>
              <w:jc w:val="center"/>
              <w:rPr>
                <w:rFonts w:ascii="Times New Roman" w:hAnsi="Times New Roman"/>
                <w:color w:val="000000"/>
                <w:sz w:val="20"/>
                <w:szCs w:val="20"/>
              </w:rPr>
            </w:pPr>
            <w:r>
              <w:rPr>
                <w:rFonts w:ascii="Times New Roman" w:hAnsi="Times New Roman"/>
                <w:color w:val="000000"/>
                <w:sz w:val="20"/>
              </w:rPr>
              <w:t>2.2</w:t>
            </w:r>
          </w:p>
        </w:tc>
        <w:tc>
          <w:tcPr>
            <w:tcW w:w="3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52A845" w14:textId="77777777" w:rsidR="009D5DD0" w:rsidRPr="00885E85" w:rsidRDefault="009D5DD0" w:rsidP="00E247DD">
            <w:pPr>
              <w:jc w:val="center"/>
              <w:rPr>
                <w:rFonts w:ascii="Times New Roman" w:hAnsi="Times New Roman"/>
                <w:color w:val="00B050"/>
                <w:sz w:val="20"/>
                <w:szCs w:val="20"/>
              </w:rPr>
            </w:pPr>
            <w:r>
              <w:rPr>
                <w:rFonts w:ascii="Times New Roman" w:hAnsi="Times New Roman"/>
                <w:color w:val="00B050"/>
                <w:sz w:val="20"/>
              </w:rPr>
              <w:t>3.7</w:t>
            </w:r>
          </w:p>
        </w:tc>
        <w:tc>
          <w:tcPr>
            <w:tcW w:w="407" w:type="pct"/>
            <w:tcBorders>
              <w:top w:val="nil"/>
              <w:left w:val="nil"/>
              <w:bottom w:val="single" w:sz="4" w:space="0" w:color="auto"/>
              <w:right w:val="single" w:sz="4" w:space="0" w:color="auto"/>
            </w:tcBorders>
            <w:shd w:val="clear" w:color="auto" w:fill="auto"/>
            <w:noWrap/>
            <w:vAlign w:val="center"/>
            <w:hideMark/>
          </w:tcPr>
          <w:p w14:paraId="440E60B1" w14:textId="77777777" w:rsidR="009D5DD0" w:rsidRPr="00885E85" w:rsidRDefault="009D5DD0" w:rsidP="00E247DD">
            <w:pPr>
              <w:jc w:val="center"/>
              <w:rPr>
                <w:rFonts w:ascii="Times New Roman" w:hAnsi="Times New Roman"/>
                <w:color w:val="000000"/>
                <w:sz w:val="20"/>
                <w:szCs w:val="20"/>
              </w:rPr>
            </w:pPr>
            <w:r>
              <w:rPr>
                <w:rFonts w:ascii="Times New Roman" w:hAnsi="Times New Roman"/>
                <w:color w:val="000000"/>
                <w:sz w:val="20"/>
              </w:rPr>
              <w:t>3.6</w:t>
            </w:r>
          </w:p>
        </w:tc>
        <w:tc>
          <w:tcPr>
            <w:tcW w:w="3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A0496E" w14:textId="77777777" w:rsidR="009D5DD0" w:rsidRPr="00885E85" w:rsidRDefault="009D5DD0" w:rsidP="00E247DD">
            <w:pPr>
              <w:jc w:val="center"/>
              <w:rPr>
                <w:rFonts w:ascii="Times New Roman" w:hAnsi="Times New Roman"/>
                <w:color w:val="9C0006"/>
                <w:sz w:val="20"/>
                <w:szCs w:val="20"/>
              </w:rPr>
            </w:pPr>
            <w:r>
              <w:rPr>
                <w:rFonts w:ascii="Times New Roman" w:hAnsi="Times New Roman"/>
                <w:color w:val="9C0006"/>
                <w:sz w:val="20"/>
              </w:rPr>
              <w:t>0.0</w:t>
            </w:r>
          </w:p>
        </w:tc>
        <w:tc>
          <w:tcPr>
            <w:tcW w:w="407" w:type="pct"/>
            <w:tcBorders>
              <w:top w:val="nil"/>
              <w:left w:val="nil"/>
              <w:bottom w:val="single" w:sz="4" w:space="0" w:color="auto"/>
              <w:right w:val="single" w:sz="4" w:space="0" w:color="auto"/>
            </w:tcBorders>
            <w:shd w:val="clear" w:color="auto" w:fill="auto"/>
            <w:noWrap/>
            <w:vAlign w:val="center"/>
            <w:hideMark/>
          </w:tcPr>
          <w:p w14:paraId="7E2DE6B6" w14:textId="77777777" w:rsidR="009D5DD0" w:rsidRPr="00885E85" w:rsidRDefault="009D5DD0" w:rsidP="00E247DD">
            <w:pPr>
              <w:jc w:val="center"/>
              <w:rPr>
                <w:rFonts w:ascii="Times New Roman" w:hAnsi="Times New Roman"/>
                <w:color w:val="000000"/>
                <w:sz w:val="20"/>
                <w:szCs w:val="20"/>
              </w:rPr>
            </w:pPr>
            <w:r>
              <w:rPr>
                <w:rFonts w:ascii="Times New Roman" w:hAnsi="Times New Roman"/>
                <w:color w:val="000000"/>
                <w:sz w:val="20"/>
              </w:rPr>
              <w:t>1.1</w:t>
            </w:r>
          </w:p>
        </w:tc>
        <w:tc>
          <w:tcPr>
            <w:tcW w:w="3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F8C7BB" w14:textId="77777777" w:rsidR="009D5DD0" w:rsidRPr="00885E85" w:rsidRDefault="009D5DD0" w:rsidP="00E247DD">
            <w:pPr>
              <w:jc w:val="center"/>
              <w:rPr>
                <w:rFonts w:ascii="Times New Roman" w:hAnsi="Times New Roman"/>
                <w:color w:val="00B050"/>
                <w:sz w:val="20"/>
                <w:szCs w:val="20"/>
              </w:rPr>
            </w:pPr>
            <w:r>
              <w:rPr>
                <w:rFonts w:ascii="Times New Roman" w:hAnsi="Times New Roman"/>
                <w:color w:val="00B050"/>
                <w:sz w:val="20"/>
              </w:rPr>
              <w:t>73.7</w:t>
            </w:r>
          </w:p>
        </w:tc>
        <w:tc>
          <w:tcPr>
            <w:tcW w:w="407" w:type="pct"/>
            <w:tcBorders>
              <w:top w:val="nil"/>
              <w:left w:val="nil"/>
              <w:bottom w:val="single" w:sz="4" w:space="0" w:color="auto"/>
              <w:right w:val="single" w:sz="4" w:space="0" w:color="auto"/>
            </w:tcBorders>
            <w:shd w:val="clear" w:color="auto" w:fill="auto"/>
            <w:noWrap/>
            <w:vAlign w:val="center"/>
            <w:hideMark/>
          </w:tcPr>
          <w:p w14:paraId="00133544" w14:textId="77777777" w:rsidR="009D5DD0" w:rsidRPr="00885E85" w:rsidRDefault="009D5DD0" w:rsidP="00E247DD">
            <w:pPr>
              <w:jc w:val="center"/>
              <w:rPr>
                <w:rFonts w:ascii="Times New Roman" w:hAnsi="Times New Roman"/>
                <w:color w:val="000000"/>
                <w:sz w:val="20"/>
                <w:szCs w:val="20"/>
              </w:rPr>
            </w:pPr>
            <w:r>
              <w:rPr>
                <w:rFonts w:ascii="Times New Roman" w:hAnsi="Times New Roman"/>
                <w:color w:val="000000"/>
                <w:sz w:val="20"/>
              </w:rPr>
              <w:t>24.0</w:t>
            </w:r>
          </w:p>
        </w:tc>
        <w:tc>
          <w:tcPr>
            <w:tcW w:w="3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EF2D7E" w14:textId="77777777" w:rsidR="009D5DD0" w:rsidRPr="00885E85" w:rsidRDefault="009D5DD0" w:rsidP="00E247DD">
            <w:pPr>
              <w:jc w:val="center"/>
              <w:rPr>
                <w:rFonts w:ascii="Times New Roman" w:hAnsi="Times New Roman"/>
                <w:color w:val="9C0006"/>
                <w:sz w:val="20"/>
                <w:szCs w:val="20"/>
              </w:rPr>
            </w:pPr>
            <w:r>
              <w:rPr>
                <w:rFonts w:ascii="Times New Roman" w:hAnsi="Times New Roman"/>
                <w:color w:val="9C0006"/>
                <w:sz w:val="20"/>
              </w:rPr>
              <w:t>23.9</w:t>
            </w:r>
          </w:p>
        </w:tc>
        <w:tc>
          <w:tcPr>
            <w:tcW w:w="406" w:type="pct"/>
            <w:tcBorders>
              <w:top w:val="nil"/>
              <w:left w:val="nil"/>
              <w:bottom w:val="single" w:sz="4" w:space="0" w:color="auto"/>
              <w:right w:val="nil"/>
            </w:tcBorders>
            <w:shd w:val="clear" w:color="auto" w:fill="auto"/>
            <w:noWrap/>
            <w:vAlign w:val="center"/>
            <w:hideMark/>
          </w:tcPr>
          <w:p w14:paraId="21B13908" w14:textId="77777777" w:rsidR="009D5DD0" w:rsidRPr="00885E85" w:rsidRDefault="009D5DD0" w:rsidP="00E247DD">
            <w:pPr>
              <w:jc w:val="center"/>
              <w:rPr>
                <w:rFonts w:ascii="Times New Roman" w:hAnsi="Times New Roman"/>
                <w:color w:val="000000"/>
                <w:sz w:val="20"/>
                <w:szCs w:val="20"/>
              </w:rPr>
            </w:pPr>
            <w:r>
              <w:rPr>
                <w:rFonts w:ascii="Times New Roman" w:hAnsi="Times New Roman"/>
                <w:color w:val="000000"/>
                <w:sz w:val="20"/>
              </w:rPr>
              <w:t>76.1</w:t>
            </w:r>
          </w:p>
        </w:tc>
      </w:tr>
      <w:tr w:rsidR="009D5DD0" w:rsidRPr="002252AD" w14:paraId="5491A655" w14:textId="77777777" w:rsidTr="00E247DD">
        <w:trPr>
          <w:trHeight w:val="320"/>
        </w:trPr>
        <w:tc>
          <w:tcPr>
            <w:tcW w:w="374" w:type="pct"/>
            <w:tcBorders>
              <w:top w:val="nil"/>
              <w:left w:val="nil"/>
              <w:bottom w:val="single" w:sz="4" w:space="0" w:color="auto"/>
              <w:right w:val="single" w:sz="4" w:space="0" w:color="auto"/>
            </w:tcBorders>
            <w:shd w:val="clear" w:color="auto" w:fill="auto"/>
            <w:noWrap/>
            <w:vAlign w:val="center"/>
            <w:hideMark/>
          </w:tcPr>
          <w:p w14:paraId="53F3B457" w14:textId="77777777" w:rsidR="009D5DD0" w:rsidRPr="00885E85" w:rsidRDefault="009D5DD0" w:rsidP="00385866">
            <w:pPr>
              <w:rPr>
                <w:rFonts w:ascii="Times New Roman" w:hAnsi="Times New Roman"/>
                <w:b/>
                <w:bCs/>
                <w:color w:val="000000"/>
                <w:sz w:val="20"/>
                <w:szCs w:val="20"/>
              </w:rPr>
            </w:pPr>
            <w:r>
              <w:rPr>
                <w:rFonts w:ascii="Times New Roman" w:hAnsi="Times New Roman"/>
                <w:b/>
                <w:color w:val="000000"/>
                <w:sz w:val="20"/>
              </w:rPr>
              <w:t>2016</w:t>
            </w:r>
          </w:p>
        </w:tc>
        <w:tc>
          <w:tcPr>
            <w:tcW w:w="3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5A3F34" w14:textId="77777777" w:rsidR="009D5DD0" w:rsidRPr="00885E85" w:rsidRDefault="009D5DD0" w:rsidP="00E247DD">
            <w:pPr>
              <w:jc w:val="center"/>
              <w:rPr>
                <w:rFonts w:ascii="Times New Roman" w:hAnsi="Times New Roman"/>
                <w:color w:val="00B050"/>
                <w:sz w:val="20"/>
                <w:szCs w:val="20"/>
              </w:rPr>
            </w:pPr>
            <w:r>
              <w:rPr>
                <w:rFonts w:ascii="Times New Roman" w:hAnsi="Times New Roman"/>
                <w:color w:val="00B050"/>
                <w:sz w:val="20"/>
              </w:rPr>
              <w:t>65.8</w:t>
            </w:r>
          </w:p>
        </w:tc>
        <w:tc>
          <w:tcPr>
            <w:tcW w:w="407" w:type="pct"/>
            <w:tcBorders>
              <w:top w:val="nil"/>
              <w:left w:val="nil"/>
              <w:bottom w:val="single" w:sz="4" w:space="0" w:color="auto"/>
              <w:right w:val="single" w:sz="4" w:space="0" w:color="auto"/>
            </w:tcBorders>
            <w:shd w:val="clear" w:color="auto" w:fill="auto"/>
            <w:noWrap/>
            <w:vAlign w:val="center"/>
            <w:hideMark/>
          </w:tcPr>
          <w:p w14:paraId="6C37804F" w14:textId="77777777" w:rsidR="009D5DD0" w:rsidRPr="00885E85" w:rsidRDefault="009D5DD0" w:rsidP="00E247DD">
            <w:pPr>
              <w:jc w:val="center"/>
              <w:rPr>
                <w:rFonts w:ascii="Times New Roman" w:hAnsi="Times New Roman"/>
                <w:color w:val="000000"/>
                <w:sz w:val="20"/>
                <w:szCs w:val="20"/>
              </w:rPr>
            </w:pPr>
            <w:r>
              <w:rPr>
                <w:rFonts w:ascii="Times New Roman" w:hAnsi="Times New Roman"/>
                <w:color w:val="000000"/>
                <w:sz w:val="20"/>
              </w:rPr>
              <w:t>16.8</w:t>
            </w:r>
          </w:p>
        </w:tc>
        <w:tc>
          <w:tcPr>
            <w:tcW w:w="3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424F69" w14:textId="77777777" w:rsidR="009D5DD0" w:rsidRPr="00885E85" w:rsidRDefault="009D5DD0" w:rsidP="00E247DD">
            <w:pPr>
              <w:jc w:val="center"/>
              <w:rPr>
                <w:rFonts w:ascii="Times New Roman" w:hAnsi="Times New Roman"/>
                <w:color w:val="00B050"/>
                <w:sz w:val="20"/>
                <w:szCs w:val="20"/>
              </w:rPr>
            </w:pPr>
            <w:r>
              <w:rPr>
                <w:rFonts w:ascii="Times New Roman" w:hAnsi="Times New Roman"/>
                <w:color w:val="00B050"/>
                <w:sz w:val="20"/>
              </w:rPr>
              <w:t>8.5</w:t>
            </w:r>
          </w:p>
        </w:tc>
        <w:tc>
          <w:tcPr>
            <w:tcW w:w="407" w:type="pct"/>
            <w:tcBorders>
              <w:top w:val="nil"/>
              <w:left w:val="nil"/>
              <w:bottom w:val="single" w:sz="4" w:space="0" w:color="auto"/>
              <w:right w:val="single" w:sz="4" w:space="0" w:color="auto"/>
            </w:tcBorders>
            <w:shd w:val="clear" w:color="auto" w:fill="auto"/>
            <w:noWrap/>
            <w:vAlign w:val="center"/>
            <w:hideMark/>
          </w:tcPr>
          <w:p w14:paraId="12ED3A9A" w14:textId="77777777" w:rsidR="009D5DD0" w:rsidRPr="00885E85" w:rsidRDefault="009D5DD0" w:rsidP="00E247DD">
            <w:pPr>
              <w:jc w:val="center"/>
              <w:rPr>
                <w:rFonts w:ascii="Times New Roman" w:hAnsi="Times New Roman"/>
                <w:color w:val="000000"/>
                <w:sz w:val="20"/>
                <w:szCs w:val="20"/>
              </w:rPr>
            </w:pPr>
            <w:r>
              <w:rPr>
                <w:rFonts w:ascii="Times New Roman" w:hAnsi="Times New Roman"/>
                <w:color w:val="000000"/>
                <w:sz w:val="20"/>
              </w:rPr>
              <w:t>2.3</w:t>
            </w:r>
          </w:p>
        </w:tc>
        <w:tc>
          <w:tcPr>
            <w:tcW w:w="3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EDD60D" w14:textId="77777777" w:rsidR="009D5DD0" w:rsidRPr="00885E85" w:rsidRDefault="009D5DD0" w:rsidP="00E247DD">
            <w:pPr>
              <w:jc w:val="center"/>
              <w:rPr>
                <w:rFonts w:ascii="Times New Roman" w:hAnsi="Times New Roman"/>
                <w:color w:val="00B050"/>
                <w:sz w:val="20"/>
                <w:szCs w:val="20"/>
              </w:rPr>
            </w:pPr>
            <w:r>
              <w:rPr>
                <w:rFonts w:ascii="Times New Roman" w:hAnsi="Times New Roman"/>
                <w:color w:val="00B050"/>
                <w:sz w:val="20"/>
              </w:rPr>
              <w:t>5.8</w:t>
            </w:r>
          </w:p>
        </w:tc>
        <w:tc>
          <w:tcPr>
            <w:tcW w:w="407" w:type="pct"/>
            <w:tcBorders>
              <w:top w:val="nil"/>
              <w:left w:val="nil"/>
              <w:bottom w:val="single" w:sz="4" w:space="0" w:color="auto"/>
              <w:right w:val="single" w:sz="4" w:space="0" w:color="auto"/>
            </w:tcBorders>
            <w:shd w:val="clear" w:color="auto" w:fill="auto"/>
            <w:noWrap/>
            <w:vAlign w:val="center"/>
            <w:hideMark/>
          </w:tcPr>
          <w:p w14:paraId="0C397BBB" w14:textId="77777777" w:rsidR="009D5DD0" w:rsidRPr="00885E85" w:rsidRDefault="009D5DD0" w:rsidP="00E247DD">
            <w:pPr>
              <w:jc w:val="center"/>
              <w:rPr>
                <w:rFonts w:ascii="Times New Roman" w:hAnsi="Times New Roman"/>
                <w:color w:val="000000"/>
                <w:sz w:val="20"/>
                <w:szCs w:val="20"/>
              </w:rPr>
            </w:pPr>
            <w:r>
              <w:rPr>
                <w:rFonts w:ascii="Times New Roman" w:hAnsi="Times New Roman"/>
                <w:color w:val="000000"/>
                <w:sz w:val="20"/>
              </w:rPr>
              <w:t>4.0</w:t>
            </w:r>
          </w:p>
        </w:tc>
        <w:tc>
          <w:tcPr>
            <w:tcW w:w="3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4C6198" w14:textId="77777777" w:rsidR="009D5DD0" w:rsidRPr="00885E85" w:rsidRDefault="009D5DD0" w:rsidP="00E247DD">
            <w:pPr>
              <w:jc w:val="center"/>
              <w:rPr>
                <w:rFonts w:ascii="Times New Roman" w:hAnsi="Times New Roman"/>
                <w:color w:val="9C0006"/>
                <w:sz w:val="20"/>
                <w:szCs w:val="20"/>
              </w:rPr>
            </w:pPr>
            <w:r>
              <w:rPr>
                <w:rFonts w:ascii="Times New Roman" w:hAnsi="Times New Roman"/>
                <w:color w:val="9C0006"/>
                <w:sz w:val="20"/>
              </w:rPr>
              <w:t>0.0</w:t>
            </w:r>
          </w:p>
        </w:tc>
        <w:tc>
          <w:tcPr>
            <w:tcW w:w="407" w:type="pct"/>
            <w:tcBorders>
              <w:top w:val="nil"/>
              <w:left w:val="nil"/>
              <w:bottom w:val="single" w:sz="4" w:space="0" w:color="auto"/>
              <w:right w:val="single" w:sz="4" w:space="0" w:color="auto"/>
            </w:tcBorders>
            <w:shd w:val="clear" w:color="auto" w:fill="auto"/>
            <w:noWrap/>
            <w:vAlign w:val="center"/>
            <w:hideMark/>
          </w:tcPr>
          <w:p w14:paraId="5148C196" w14:textId="77777777" w:rsidR="009D5DD0" w:rsidRPr="00885E85" w:rsidRDefault="009D5DD0" w:rsidP="00E247DD">
            <w:pPr>
              <w:jc w:val="center"/>
              <w:rPr>
                <w:rFonts w:ascii="Times New Roman" w:hAnsi="Times New Roman"/>
                <w:color w:val="000000"/>
                <w:sz w:val="20"/>
                <w:szCs w:val="20"/>
              </w:rPr>
            </w:pPr>
            <w:r>
              <w:rPr>
                <w:rFonts w:ascii="Times New Roman" w:hAnsi="Times New Roman"/>
                <w:color w:val="000000"/>
                <w:sz w:val="20"/>
              </w:rPr>
              <w:t>1.4</w:t>
            </w:r>
          </w:p>
        </w:tc>
        <w:tc>
          <w:tcPr>
            <w:tcW w:w="3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376843" w14:textId="77777777" w:rsidR="009D5DD0" w:rsidRPr="00885E85" w:rsidRDefault="009D5DD0" w:rsidP="00E247DD">
            <w:pPr>
              <w:jc w:val="center"/>
              <w:rPr>
                <w:rFonts w:ascii="Times New Roman" w:hAnsi="Times New Roman"/>
                <w:color w:val="00B050"/>
                <w:sz w:val="20"/>
                <w:szCs w:val="20"/>
              </w:rPr>
            </w:pPr>
            <w:r>
              <w:rPr>
                <w:rFonts w:ascii="Times New Roman" w:hAnsi="Times New Roman"/>
                <w:color w:val="00B050"/>
                <w:sz w:val="20"/>
              </w:rPr>
              <w:t>80.1</w:t>
            </w:r>
          </w:p>
        </w:tc>
        <w:tc>
          <w:tcPr>
            <w:tcW w:w="407" w:type="pct"/>
            <w:tcBorders>
              <w:top w:val="nil"/>
              <w:left w:val="nil"/>
              <w:bottom w:val="single" w:sz="4" w:space="0" w:color="auto"/>
              <w:right w:val="single" w:sz="4" w:space="0" w:color="auto"/>
            </w:tcBorders>
            <w:shd w:val="clear" w:color="auto" w:fill="auto"/>
            <w:noWrap/>
            <w:vAlign w:val="center"/>
            <w:hideMark/>
          </w:tcPr>
          <w:p w14:paraId="3BA7CB33" w14:textId="77777777" w:rsidR="009D5DD0" w:rsidRPr="00885E85" w:rsidRDefault="009D5DD0" w:rsidP="00E247DD">
            <w:pPr>
              <w:jc w:val="center"/>
              <w:rPr>
                <w:rFonts w:ascii="Times New Roman" w:hAnsi="Times New Roman"/>
                <w:color w:val="000000"/>
                <w:sz w:val="20"/>
                <w:szCs w:val="20"/>
              </w:rPr>
            </w:pPr>
            <w:r>
              <w:rPr>
                <w:rFonts w:ascii="Times New Roman" w:hAnsi="Times New Roman"/>
                <w:color w:val="000000"/>
                <w:sz w:val="20"/>
              </w:rPr>
              <w:t>25.0</w:t>
            </w:r>
          </w:p>
        </w:tc>
        <w:tc>
          <w:tcPr>
            <w:tcW w:w="3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2B3CEB" w14:textId="77777777" w:rsidR="009D5DD0" w:rsidRPr="00885E85" w:rsidRDefault="009D5DD0" w:rsidP="00E247DD">
            <w:pPr>
              <w:jc w:val="center"/>
              <w:rPr>
                <w:rFonts w:ascii="Times New Roman" w:hAnsi="Times New Roman"/>
                <w:color w:val="9C0006"/>
                <w:sz w:val="20"/>
                <w:szCs w:val="20"/>
              </w:rPr>
            </w:pPr>
            <w:r>
              <w:rPr>
                <w:rFonts w:ascii="Times New Roman" w:hAnsi="Times New Roman"/>
                <w:color w:val="9C0006"/>
                <w:sz w:val="20"/>
              </w:rPr>
              <w:t>17.6</w:t>
            </w:r>
          </w:p>
        </w:tc>
        <w:tc>
          <w:tcPr>
            <w:tcW w:w="406" w:type="pct"/>
            <w:tcBorders>
              <w:top w:val="nil"/>
              <w:left w:val="nil"/>
              <w:bottom w:val="single" w:sz="4" w:space="0" w:color="auto"/>
              <w:right w:val="nil"/>
            </w:tcBorders>
            <w:shd w:val="clear" w:color="auto" w:fill="auto"/>
            <w:noWrap/>
            <w:vAlign w:val="center"/>
            <w:hideMark/>
          </w:tcPr>
          <w:p w14:paraId="28CCD199" w14:textId="77777777" w:rsidR="009D5DD0" w:rsidRPr="00885E85" w:rsidRDefault="009D5DD0" w:rsidP="00E247DD">
            <w:pPr>
              <w:jc w:val="center"/>
              <w:rPr>
                <w:rFonts w:ascii="Times New Roman" w:hAnsi="Times New Roman"/>
                <w:color w:val="000000"/>
                <w:sz w:val="20"/>
                <w:szCs w:val="20"/>
              </w:rPr>
            </w:pPr>
            <w:r>
              <w:rPr>
                <w:rFonts w:ascii="Times New Roman" w:hAnsi="Times New Roman"/>
                <w:color w:val="000000"/>
                <w:sz w:val="20"/>
              </w:rPr>
              <w:t>75.2</w:t>
            </w:r>
          </w:p>
        </w:tc>
      </w:tr>
      <w:tr w:rsidR="009D5DD0" w:rsidRPr="002252AD" w14:paraId="37F18DAA" w14:textId="77777777" w:rsidTr="00E247DD">
        <w:trPr>
          <w:trHeight w:val="320"/>
        </w:trPr>
        <w:tc>
          <w:tcPr>
            <w:tcW w:w="374" w:type="pct"/>
            <w:tcBorders>
              <w:top w:val="nil"/>
              <w:left w:val="nil"/>
              <w:bottom w:val="single" w:sz="4" w:space="0" w:color="auto"/>
              <w:right w:val="single" w:sz="4" w:space="0" w:color="auto"/>
            </w:tcBorders>
            <w:shd w:val="clear" w:color="auto" w:fill="auto"/>
            <w:noWrap/>
            <w:vAlign w:val="center"/>
            <w:hideMark/>
          </w:tcPr>
          <w:p w14:paraId="72A6FD37" w14:textId="77777777" w:rsidR="009D5DD0" w:rsidRPr="00885E85" w:rsidRDefault="009D5DD0" w:rsidP="00385866">
            <w:pPr>
              <w:rPr>
                <w:rFonts w:ascii="Times New Roman" w:hAnsi="Times New Roman"/>
                <w:b/>
                <w:bCs/>
                <w:color w:val="000000"/>
                <w:sz w:val="20"/>
                <w:szCs w:val="20"/>
              </w:rPr>
            </w:pPr>
            <w:r>
              <w:rPr>
                <w:rFonts w:ascii="Times New Roman" w:hAnsi="Times New Roman"/>
                <w:b/>
                <w:color w:val="000000"/>
                <w:sz w:val="20"/>
              </w:rPr>
              <w:lastRenderedPageBreak/>
              <w:t>2017</w:t>
            </w:r>
          </w:p>
        </w:tc>
        <w:tc>
          <w:tcPr>
            <w:tcW w:w="3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4D2E3B" w14:textId="77777777" w:rsidR="009D5DD0" w:rsidRPr="00885E85" w:rsidRDefault="009D5DD0" w:rsidP="00E247DD">
            <w:pPr>
              <w:jc w:val="center"/>
              <w:rPr>
                <w:rFonts w:ascii="Times New Roman" w:hAnsi="Times New Roman"/>
                <w:color w:val="00B050"/>
                <w:sz w:val="20"/>
                <w:szCs w:val="20"/>
              </w:rPr>
            </w:pPr>
            <w:r>
              <w:rPr>
                <w:rFonts w:ascii="Times New Roman" w:hAnsi="Times New Roman"/>
                <w:color w:val="00B050"/>
                <w:sz w:val="20"/>
              </w:rPr>
              <w:t>63.1</w:t>
            </w:r>
          </w:p>
        </w:tc>
        <w:tc>
          <w:tcPr>
            <w:tcW w:w="407" w:type="pct"/>
            <w:tcBorders>
              <w:top w:val="nil"/>
              <w:left w:val="nil"/>
              <w:bottom w:val="single" w:sz="4" w:space="0" w:color="auto"/>
              <w:right w:val="single" w:sz="4" w:space="0" w:color="auto"/>
            </w:tcBorders>
            <w:shd w:val="clear" w:color="auto" w:fill="auto"/>
            <w:noWrap/>
            <w:vAlign w:val="center"/>
            <w:hideMark/>
          </w:tcPr>
          <w:p w14:paraId="2AF33BAA" w14:textId="77777777" w:rsidR="009D5DD0" w:rsidRPr="00885E85" w:rsidRDefault="009D5DD0" w:rsidP="00E247DD">
            <w:pPr>
              <w:jc w:val="center"/>
              <w:rPr>
                <w:rFonts w:ascii="Times New Roman" w:hAnsi="Times New Roman"/>
                <w:color w:val="000000"/>
                <w:sz w:val="20"/>
                <w:szCs w:val="20"/>
              </w:rPr>
            </w:pPr>
            <w:r>
              <w:rPr>
                <w:rFonts w:ascii="Times New Roman" w:hAnsi="Times New Roman"/>
                <w:color w:val="000000"/>
                <w:sz w:val="20"/>
              </w:rPr>
              <w:t>16.4</w:t>
            </w:r>
          </w:p>
        </w:tc>
        <w:tc>
          <w:tcPr>
            <w:tcW w:w="3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44C55E" w14:textId="77777777" w:rsidR="009D5DD0" w:rsidRPr="00885E85" w:rsidRDefault="009D5DD0" w:rsidP="00E247DD">
            <w:pPr>
              <w:jc w:val="center"/>
              <w:rPr>
                <w:rFonts w:ascii="Times New Roman" w:hAnsi="Times New Roman"/>
                <w:color w:val="00B050"/>
                <w:sz w:val="20"/>
                <w:szCs w:val="20"/>
              </w:rPr>
            </w:pPr>
            <w:r>
              <w:rPr>
                <w:rFonts w:ascii="Times New Roman" w:hAnsi="Times New Roman"/>
                <w:color w:val="00B050"/>
                <w:sz w:val="20"/>
              </w:rPr>
              <w:t>8.4</w:t>
            </w:r>
          </w:p>
        </w:tc>
        <w:tc>
          <w:tcPr>
            <w:tcW w:w="407" w:type="pct"/>
            <w:tcBorders>
              <w:top w:val="nil"/>
              <w:left w:val="nil"/>
              <w:bottom w:val="single" w:sz="4" w:space="0" w:color="auto"/>
              <w:right w:val="single" w:sz="4" w:space="0" w:color="auto"/>
            </w:tcBorders>
            <w:shd w:val="clear" w:color="auto" w:fill="auto"/>
            <w:noWrap/>
            <w:vAlign w:val="center"/>
            <w:hideMark/>
          </w:tcPr>
          <w:p w14:paraId="79549477" w14:textId="77777777" w:rsidR="009D5DD0" w:rsidRPr="00885E85" w:rsidRDefault="009D5DD0" w:rsidP="00E247DD">
            <w:pPr>
              <w:jc w:val="center"/>
              <w:rPr>
                <w:rFonts w:ascii="Times New Roman" w:hAnsi="Times New Roman"/>
                <w:color w:val="000000"/>
                <w:sz w:val="20"/>
                <w:szCs w:val="20"/>
              </w:rPr>
            </w:pPr>
            <w:r>
              <w:rPr>
                <w:rFonts w:ascii="Times New Roman" w:hAnsi="Times New Roman"/>
                <w:color w:val="000000"/>
                <w:sz w:val="20"/>
              </w:rPr>
              <w:t>2.4</w:t>
            </w:r>
          </w:p>
        </w:tc>
        <w:tc>
          <w:tcPr>
            <w:tcW w:w="3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D099F5" w14:textId="77777777" w:rsidR="009D5DD0" w:rsidRPr="00885E85" w:rsidRDefault="009D5DD0" w:rsidP="00E247DD">
            <w:pPr>
              <w:jc w:val="center"/>
              <w:rPr>
                <w:rFonts w:ascii="Times New Roman" w:hAnsi="Times New Roman"/>
                <w:color w:val="00B050"/>
                <w:sz w:val="20"/>
                <w:szCs w:val="20"/>
              </w:rPr>
            </w:pPr>
            <w:r>
              <w:rPr>
                <w:rFonts w:ascii="Times New Roman" w:hAnsi="Times New Roman"/>
                <w:color w:val="00B050"/>
                <w:sz w:val="20"/>
              </w:rPr>
              <w:t>7.2</w:t>
            </w:r>
          </w:p>
        </w:tc>
        <w:tc>
          <w:tcPr>
            <w:tcW w:w="407" w:type="pct"/>
            <w:tcBorders>
              <w:top w:val="nil"/>
              <w:left w:val="nil"/>
              <w:bottom w:val="single" w:sz="4" w:space="0" w:color="auto"/>
              <w:right w:val="single" w:sz="4" w:space="0" w:color="auto"/>
            </w:tcBorders>
            <w:shd w:val="clear" w:color="auto" w:fill="auto"/>
            <w:noWrap/>
            <w:vAlign w:val="center"/>
            <w:hideMark/>
          </w:tcPr>
          <w:p w14:paraId="29AF283E" w14:textId="77777777" w:rsidR="009D5DD0" w:rsidRPr="00885E85" w:rsidRDefault="009D5DD0" w:rsidP="00E247DD">
            <w:pPr>
              <w:jc w:val="center"/>
              <w:rPr>
                <w:rFonts w:ascii="Times New Roman" w:hAnsi="Times New Roman"/>
                <w:color w:val="000000"/>
                <w:sz w:val="20"/>
                <w:szCs w:val="20"/>
              </w:rPr>
            </w:pPr>
            <w:r>
              <w:rPr>
                <w:rFonts w:ascii="Times New Roman" w:hAnsi="Times New Roman"/>
                <w:color w:val="000000"/>
                <w:sz w:val="20"/>
              </w:rPr>
              <w:t>4.6</w:t>
            </w:r>
          </w:p>
        </w:tc>
        <w:tc>
          <w:tcPr>
            <w:tcW w:w="3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A79D01" w14:textId="77777777" w:rsidR="009D5DD0" w:rsidRPr="00885E85" w:rsidRDefault="009D5DD0" w:rsidP="00E247DD">
            <w:pPr>
              <w:jc w:val="center"/>
              <w:rPr>
                <w:rFonts w:ascii="Times New Roman" w:hAnsi="Times New Roman"/>
                <w:color w:val="9C0006"/>
                <w:sz w:val="20"/>
                <w:szCs w:val="20"/>
              </w:rPr>
            </w:pPr>
            <w:r>
              <w:rPr>
                <w:rFonts w:ascii="Times New Roman" w:hAnsi="Times New Roman"/>
                <w:color w:val="9C0006"/>
                <w:sz w:val="20"/>
              </w:rPr>
              <w:t>0.1</w:t>
            </w:r>
          </w:p>
        </w:tc>
        <w:tc>
          <w:tcPr>
            <w:tcW w:w="407" w:type="pct"/>
            <w:tcBorders>
              <w:top w:val="nil"/>
              <w:left w:val="nil"/>
              <w:bottom w:val="single" w:sz="4" w:space="0" w:color="auto"/>
              <w:right w:val="single" w:sz="4" w:space="0" w:color="auto"/>
            </w:tcBorders>
            <w:shd w:val="clear" w:color="auto" w:fill="auto"/>
            <w:noWrap/>
            <w:vAlign w:val="center"/>
            <w:hideMark/>
          </w:tcPr>
          <w:p w14:paraId="1C3EF7F9" w14:textId="77777777" w:rsidR="009D5DD0" w:rsidRPr="00885E85" w:rsidRDefault="009D5DD0" w:rsidP="00E247DD">
            <w:pPr>
              <w:jc w:val="center"/>
              <w:rPr>
                <w:rFonts w:ascii="Times New Roman" w:hAnsi="Times New Roman"/>
                <w:color w:val="000000"/>
                <w:sz w:val="20"/>
                <w:szCs w:val="20"/>
              </w:rPr>
            </w:pPr>
            <w:r>
              <w:rPr>
                <w:rFonts w:ascii="Times New Roman" w:hAnsi="Times New Roman"/>
                <w:color w:val="000000"/>
                <w:sz w:val="20"/>
              </w:rPr>
              <w:t>1.9</w:t>
            </w:r>
          </w:p>
        </w:tc>
        <w:tc>
          <w:tcPr>
            <w:tcW w:w="3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BBBF4F" w14:textId="77777777" w:rsidR="009D5DD0" w:rsidRPr="00885E85" w:rsidRDefault="009D5DD0" w:rsidP="00E247DD">
            <w:pPr>
              <w:jc w:val="center"/>
              <w:rPr>
                <w:rFonts w:ascii="Times New Roman" w:hAnsi="Times New Roman"/>
                <w:color w:val="00B050"/>
                <w:sz w:val="20"/>
                <w:szCs w:val="20"/>
              </w:rPr>
            </w:pPr>
            <w:r>
              <w:rPr>
                <w:rFonts w:ascii="Times New Roman" w:hAnsi="Times New Roman"/>
                <w:color w:val="00B050"/>
                <w:sz w:val="20"/>
              </w:rPr>
              <w:t>78.8</w:t>
            </w:r>
          </w:p>
        </w:tc>
        <w:tc>
          <w:tcPr>
            <w:tcW w:w="407" w:type="pct"/>
            <w:tcBorders>
              <w:top w:val="nil"/>
              <w:left w:val="nil"/>
              <w:bottom w:val="single" w:sz="4" w:space="0" w:color="auto"/>
              <w:right w:val="single" w:sz="4" w:space="0" w:color="auto"/>
            </w:tcBorders>
            <w:shd w:val="clear" w:color="auto" w:fill="auto"/>
            <w:noWrap/>
            <w:vAlign w:val="center"/>
            <w:hideMark/>
          </w:tcPr>
          <w:p w14:paraId="5BA707D9" w14:textId="77777777" w:rsidR="009D5DD0" w:rsidRPr="00885E85" w:rsidRDefault="009D5DD0" w:rsidP="00E247DD">
            <w:pPr>
              <w:jc w:val="center"/>
              <w:rPr>
                <w:rFonts w:ascii="Times New Roman" w:hAnsi="Times New Roman"/>
                <w:color w:val="000000"/>
                <w:sz w:val="20"/>
                <w:szCs w:val="20"/>
              </w:rPr>
            </w:pPr>
            <w:r>
              <w:rPr>
                <w:rFonts w:ascii="Times New Roman" w:hAnsi="Times New Roman"/>
                <w:color w:val="000000"/>
                <w:sz w:val="20"/>
              </w:rPr>
              <w:t>25.8</w:t>
            </w:r>
          </w:p>
        </w:tc>
        <w:tc>
          <w:tcPr>
            <w:tcW w:w="3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E4FAFB" w14:textId="77777777" w:rsidR="009D5DD0" w:rsidRPr="00885E85" w:rsidRDefault="009D5DD0" w:rsidP="00E247DD">
            <w:pPr>
              <w:jc w:val="center"/>
              <w:rPr>
                <w:rFonts w:ascii="Times New Roman" w:hAnsi="Times New Roman"/>
                <w:color w:val="9C0006"/>
                <w:sz w:val="20"/>
                <w:szCs w:val="20"/>
              </w:rPr>
            </w:pPr>
            <w:r>
              <w:rPr>
                <w:rFonts w:ascii="Times New Roman" w:hAnsi="Times New Roman"/>
                <w:color w:val="9C0006"/>
                <w:sz w:val="20"/>
              </w:rPr>
              <w:t>18.8</w:t>
            </w:r>
          </w:p>
        </w:tc>
        <w:tc>
          <w:tcPr>
            <w:tcW w:w="406" w:type="pct"/>
            <w:tcBorders>
              <w:top w:val="nil"/>
              <w:left w:val="nil"/>
              <w:bottom w:val="single" w:sz="4" w:space="0" w:color="auto"/>
              <w:right w:val="nil"/>
            </w:tcBorders>
            <w:shd w:val="clear" w:color="auto" w:fill="auto"/>
            <w:noWrap/>
            <w:vAlign w:val="center"/>
            <w:hideMark/>
          </w:tcPr>
          <w:p w14:paraId="387D3F48" w14:textId="77777777" w:rsidR="009D5DD0" w:rsidRPr="00885E85" w:rsidRDefault="009D5DD0" w:rsidP="00E247DD">
            <w:pPr>
              <w:jc w:val="center"/>
              <w:rPr>
                <w:rFonts w:ascii="Times New Roman" w:hAnsi="Times New Roman"/>
                <w:color w:val="000000"/>
                <w:sz w:val="20"/>
                <w:szCs w:val="20"/>
              </w:rPr>
            </w:pPr>
            <w:r>
              <w:rPr>
                <w:rFonts w:ascii="Times New Roman" w:hAnsi="Times New Roman"/>
                <w:color w:val="000000"/>
                <w:sz w:val="20"/>
              </w:rPr>
              <w:t>74.3</w:t>
            </w:r>
          </w:p>
        </w:tc>
      </w:tr>
      <w:tr w:rsidR="009D5DD0" w:rsidRPr="002252AD" w14:paraId="259CEB4A" w14:textId="77777777" w:rsidTr="00E247DD">
        <w:trPr>
          <w:trHeight w:val="320"/>
        </w:trPr>
        <w:tc>
          <w:tcPr>
            <w:tcW w:w="374" w:type="pct"/>
            <w:tcBorders>
              <w:top w:val="nil"/>
              <w:left w:val="nil"/>
              <w:bottom w:val="single" w:sz="4" w:space="0" w:color="auto"/>
              <w:right w:val="single" w:sz="4" w:space="0" w:color="auto"/>
            </w:tcBorders>
            <w:shd w:val="clear" w:color="auto" w:fill="auto"/>
            <w:noWrap/>
            <w:vAlign w:val="center"/>
            <w:hideMark/>
          </w:tcPr>
          <w:p w14:paraId="48D48ACC" w14:textId="77777777" w:rsidR="009D5DD0" w:rsidRPr="00885E85" w:rsidRDefault="009D5DD0" w:rsidP="00385866">
            <w:pPr>
              <w:rPr>
                <w:rFonts w:ascii="Times New Roman" w:hAnsi="Times New Roman"/>
                <w:b/>
                <w:bCs/>
                <w:color w:val="000000"/>
                <w:sz w:val="20"/>
                <w:szCs w:val="20"/>
              </w:rPr>
            </w:pPr>
            <w:r>
              <w:rPr>
                <w:rFonts w:ascii="Times New Roman" w:hAnsi="Times New Roman"/>
                <w:b/>
                <w:color w:val="000000"/>
                <w:sz w:val="20"/>
              </w:rPr>
              <w:t>2018</w:t>
            </w:r>
          </w:p>
        </w:tc>
        <w:tc>
          <w:tcPr>
            <w:tcW w:w="3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DD9E5C" w14:textId="77777777" w:rsidR="009D5DD0" w:rsidRPr="00885E85" w:rsidRDefault="009D5DD0" w:rsidP="00E247DD">
            <w:pPr>
              <w:jc w:val="center"/>
              <w:rPr>
                <w:rFonts w:ascii="Times New Roman" w:hAnsi="Times New Roman"/>
                <w:color w:val="00B050"/>
                <w:sz w:val="20"/>
                <w:szCs w:val="20"/>
              </w:rPr>
            </w:pPr>
            <w:r>
              <w:rPr>
                <w:rFonts w:ascii="Times New Roman" w:hAnsi="Times New Roman"/>
                <w:color w:val="00B050"/>
                <w:sz w:val="20"/>
              </w:rPr>
              <w:t>64.7</w:t>
            </w:r>
          </w:p>
        </w:tc>
        <w:tc>
          <w:tcPr>
            <w:tcW w:w="407" w:type="pct"/>
            <w:tcBorders>
              <w:top w:val="nil"/>
              <w:left w:val="nil"/>
              <w:bottom w:val="single" w:sz="4" w:space="0" w:color="auto"/>
              <w:right w:val="single" w:sz="4" w:space="0" w:color="auto"/>
            </w:tcBorders>
            <w:shd w:val="clear" w:color="auto" w:fill="auto"/>
            <w:noWrap/>
            <w:vAlign w:val="center"/>
            <w:hideMark/>
          </w:tcPr>
          <w:p w14:paraId="7D10F8A0" w14:textId="77777777" w:rsidR="009D5DD0" w:rsidRPr="00885E85" w:rsidRDefault="009D5DD0" w:rsidP="00E247DD">
            <w:pPr>
              <w:jc w:val="center"/>
              <w:rPr>
                <w:rFonts w:ascii="Times New Roman" w:hAnsi="Times New Roman"/>
                <w:color w:val="000000"/>
                <w:sz w:val="20"/>
                <w:szCs w:val="20"/>
              </w:rPr>
            </w:pPr>
            <w:r>
              <w:rPr>
                <w:rFonts w:ascii="Times New Roman" w:hAnsi="Times New Roman"/>
                <w:color w:val="000000"/>
                <w:sz w:val="20"/>
              </w:rPr>
              <w:t>16.4</w:t>
            </w:r>
          </w:p>
        </w:tc>
        <w:tc>
          <w:tcPr>
            <w:tcW w:w="3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1EFDBA" w14:textId="77777777" w:rsidR="009D5DD0" w:rsidRPr="00885E85" w:rsidRDefault="009D5DD0" w:rsidP="00E247DD">
            <w:pPr>
              <w:jc w:val="center"/>
              <w:rPr>
                <w:rFonts w:ascii="Times New Roman" w:hAnsi="Times New Roman"/>
                <w:color w:val="00B050"/>
                <w:sz w:val="20"/>
                <w:szCs w:val="20"/>
              </w:rPr>
            </w:pPr>
            <w:r>
              <w:rPr>
                <w:rFonts w:ascii="Times New Roman" w:hAnsi="Times New Roman"/>
                <w:color w:val="00B050"/>
                <w:sz w:val="20"/>
              </w:rPr>
              <w:t>8.6</w:t>
            </w:r>
          </w:p>
        </w:tc>
        <w:tc>
          <w:tcPr>
            <w:tcW w:w="407" w:type="pct"/>
            <w:tcBorders>
              <w:top w:val="nil"/>
              <w:left w:val="nil"/>
              <w:bottom w:val="single" w:sz="4" w:space="0" w:color="auto"/>
              <w:right w:val="single" w:sz="4" w:space="0" w:color="auto"/>
            </w:tcBorders>
            <w:shd w:val="clear" w:color="auto" w:fill="auto"/>
            <w:noWrap/>
            <w:vAlign w:val="center"/>
            <w:hideMark/>
          </w:tcPr>
          <w:p w14:paraId="32F875C1" w14:textId="77777777" w:rsidR="009D5DD0" w:rsidRPr="00885E85" w:rsidRDefault="009D5DD0" w:rsidP="00E247DD">
            <w:pPr>
              <w:jc w:val="center"/>
              <w:rPr>
                <w:rFonts w:ascii="Times New Roman" w:hAnsi="Times New Roman"/>
                <w:color w:val="000000"/>
                <w:sz w:val="20"/>
                <w:szCs w:val="20"/>
              </w:rPr>
            </w:pPr>
            <w:r>
              <w:rPr>
                <w:rFonts w:ascii="Times New Roman" w:hAnsi="Times New Roman"/>
                <w:color w:val="000000"/>
                <w:sz w:val="20"/>
              </w:rPr>
              <w:t>2.4</w:t>
            </w:r>
          </w:p>
        </w:tc>
        <w:tc>
          <w:tcPr>
            <w:tcW w:w="3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CA34E6" w14:textId="77777777" w:rsidR="009D5DD0" w:rsidRPr="00885E85" w:rsidRDefault="009D5DD0" w:rsidP="00E247DD">
            <w:pPr>
              <w:jc w:val="center"/>
              <w:rPr>
                <w:rFonts w:ascii="Times New Roman" w:hAnsi="Times New Roman"/>
                <w:color w:val="00B050"/>
                <w:sz w:val="20"/>
                <w:szCs w:val="20"/>
              </w:rPr>
            </w:pPr>
            <w:r>
              <w:rPr>
                <w:rFonts w:ascii="Times New Roman" w:hAnsi="Times New Roman"/>
                <w:color w:val="00B050"/>
                <w:sz w:val="20"/>
              </w:rPr>
              <w:t>8.1</w:t>
            </w:r>
          </w:p>
        </w:tc>
        <w:tc>
          <w:tcPr>
            <w:tcW w:w="407" w:type="pct"/>
            <w:tcBorders>
              <w:top w:val="nil"/>
              <w:left w:val="nil"/>
              <w:bottom w:val="single" w:sz="4" w:space="0" w:color="auto"/>
              <w:right w:val="single" w:sz="4" w:space="0" w:color="auto"/>
            </w:tcBorders>
            <w:shd w:val="clear" w:color="auto" w:fill="auto"/>
            <w:noWrap/>
            <w:vAlign w:val="center"/>
            <w:hideMark/>
          </w:tcPr>
          <w:p w14:paraId="685C0F7A" w14:textId="77777777" w:rsidR="009D5DD0" w:rsidRPr="00885E85" w:rsidRDefault="009D5DD0" w:rsidP="00E247DD">
            <w:pPr>
              <w:jc w:val="center"/>
              <w:rPr>
                <w:rFonts w:ascii="Times New Roman" w:hAnsi="Times New Roman"/>
                <w:color w:val="000000"/>
                <w:sz w:val="20"/>
                <w:szCs w:val="20"/>
              </w:rPr>
            </w:pPr>
            <w:r>
              <w:rPr>
                <w:rFonts w:ascii="Times New Roman" w:hAnsi="Times New Roman"/>
                <w:color w:val="000000"/>
                <w:sz w:val="20"/>
              </w:rPr>
              <w:t>5.0</w:t>
            </w:r>
          </w:p>
        </w:tc>
        <w:tc>
          <w:tcPr>
            <w:tcW w:w="3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CAB6CE" w14:textId="77777777" w:rsidR="009D5DD0" w:rsidRPr="00885E85" w:rsidRDefault="009D5DD0" w:rsidP="00E247DD">
            <w:pPr>
              <w:jc w:val="center"/>
              <w:rPr>
                <w:rFonts w:ascii="Times New Roman" w:hAnsi="Times New Roman"/>
                <w:color w:val="9C0006"/>
                <w:sz w:val="20"/>
                <w:szCs w:val="20"/>
              </w:rPr>
            </w:pPr>
            <w:r>
              <w:rPr>
                <w:rFonts w:ascii="Times New Roman" w:hAnsi="Times New Roman"/>
                <w:color w:val="9C0006"/>
                <w:sz w:val="20"/>
              </w:rPr>
              <w:t>0.6</w:t>
            </w:r>
          </w:p>
        </w:tc>
        <w:tc>
          <w:tcPr>
            <w:tcW w:w="407" w:type="pct"/>
            <w:tcBorders>
              <w:top w:val="nil"/>
              <w:left w:val="nil"/>
              <w:bottom w:val="single" w:sz="4" w:space="0" w:color="auto"/>
              <w:right w:val="single" w:sz="4" w:space="0" w:color="auto"/>
            </w:tcBorders>
            <w:shd w:val="clear" w:color="auto" w:fill="auto"/>
            <w:noWrap/>
            <w:vAlign w:val="center"/>
            <w:hideMark/>
          </w:tcPr>
          <w:p w14:paraId="31D3C8F7" w14:textId="77777777" w:rsidR="009D5DD0" w:rsidRPr="00885E85" w:rsidRDefault="009D5DD0" w:rsidP="00E247DD">
            <w:pPr>
              <w:jc w:val="center"/>
              <w:rPr>
                <w:rFonts w:ascii="Times New Roman" w:hAnsi="Times New Roman"/>
                <w:color w:val="000000"/>
                <w:sz w:val="20"/>
                <w:szCs w:val="20"/>
              </w:rPr>
            </w:pPr>
            <w:r>
              <w:rPr>
                <w:rFonts w:ascii="Times New Roman" w:hAnsi="Times New Roman"/>
                <w:color w:val="000000"/>
                <w:sz w:val="20"/>
              </w:rPr>
              <w:t>2.3</w:t>
            </w:r>
          </w:p>
        </w:tc>
        <w:tc>
          <w:tcPr>
            <w:tcW w:w="3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D17430" w14:textId="77777777" w:rsidR="009D5DD0" w:rsidRPr="00885E85" w:rsidRDefault="009D5DD0" w:rsidP="00E247DD">
            <w:pPr>
              <w:jc w:val="center"/>
              <w:rPr>
                <w:rFonts w:ascii="Times New Roman" w:hAnsi="Times New Roman"/>
                <w:color w:val="00B050"/>
                <w:sz w:val="20"/>
                <w:szCs w:val="20"/>
              </w:rPr>
            </w:pPr>
            <w:r>
              <w:rPr>
                <w:rFonts w:ascii="Times New Roman" w:hAnsi="Times New Roman"/>
                <w:color w:val="00B050"/>
                <w:sz w:val="20"/>
              </w:rPr>
              <w:t>81.9</w:t>
            </w:r>
          </w:p>
        </w:tc>
        <w:tc>
          <w:tcPr>
            <w:tcW w:w="407" w:type="pct"/>
            <w:tcBorders>
              <w:top w:val="nil"/>
              <w:left w:val="nil"/>
              <w:bottom w:val="single" w:sz="4" w:space="0" w:color="auto"/>
              <w:right w:val="single" w:sz="4" w:space="0" w:color="auto"/>
            </w:tcBorders>
            <w:shd w:val="clear" w:color="auto" w:fill="auto"/>
            <w:noWrap/>
            <w:vAlign w:val="center"/>
            <w:hideMark/>
          </w:tcPr>
          <w:p w14:paraId="126321B8" w14:textId="77777777" w:rsidR="009D5DD0" w:rsidRPr="00885E85" w:rsidRDefault="009D5DD0" w:rsidP="00E247DD">
            <w:pPr>
              <w:jc w:val="center"/>
              <w:rPr>
                <w:rFonts w:ascii="Times New Roman" w:hAnsi="Times New Roman"/>
                <w:color w:val="000000"/>
                <w:sz w:val="20"/>
                <w:szCs w:val="20"/>
              </w:rPr>
            </w:pPr>
            <w:r>
              <w:rPr>
                <w:rFonts w:ascii="Times New Roman" w:hAnsi="Times New Roman"/>
                <w:color w:val="000000"/>
                <w:sz w:val="20"/>
              </w:rPr>
              <w:t>26.6</w:t>
            </w:r>
          </w:p>
        </w:tc>
        <w:tc>
          <w:tcPr>
            <w:tcW w:w="3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113FE1" w14:textId="77777777" w:rsidR="009D5DD0" w:rsidRPr="00885E85" w:rsidRDefault="009D5DD0" w:rsidP="00E247DD">
            <w:pPr>
              <w:jc w:val="center"/>
              <w:rPr>
                <w:rFonts w:ascii="Times New Roman" w:hAnsi="Times New Roman"/>
                <w:color w:val="9C0006"/>
                <w:sz w:val="20"/>
                <w:szCs w:val="20"/>
              </w:rPr>
            </w:pPr>
            <w:r>
              <w:rPr>
                <w:rFonts w:ascii="Times New Roman" w:hAnsi="Times New Roman"/>
                <w:color w:val="9C0006"/>
                <w:sz w:val="20"/>
              </w:rPr>
              <w:t>15.7</w:t>
            </w:r>
          </w:p>
        </w:tc>
        <w:tc>
          <w:tcPr>
            <w:tcW w:w="406" w:type="pct"/>
            <w:tcBorders>
              <w:top w:val="nil"/>
              <w:left w:val="nil"/>
              <w:bottom w:val="single" w:sz="4" w:space="0" w:color="auto"/>
              <w:right w:val="nil"/>
            </w:tcBorders>
            <w:shd w:val="clear" w:color="auto" w:fill="auto"/>
            <w:noWrap/>
            <w:vAlign w:val="center"/>
            <w:hideMark/>
          </w:tcPr>
          <w:p w14:paraId="30CC3869" w14:textId="77777777" w:rsidR="009D5DD0" w:rsidRPr="00885E85" w:rsidRDefault="009D5DD0" w:rsidP="00E247DD">
            <w:pPr>
              <w:jc w:val="center"/>
              <w:rPr>
                <w:rFonts w:ascii="Times New Roman" w:hAnsi="Times New Roman"/>
                <w:color w:val="000000"/>
                <w:sz w:val="20"/>
                <w:szCs w:val="20"/>
              </w:rPr>
            </w:pPr>
            <w:r>
              <w:rPr>
                <w:rFonts w:ascii="Times New Roman" w:hAnsi="Times New Roman"/>
                <w:color w:val="000000"/>
                <w:sz w:val="20"/>
              </w:rPr>
              <w:t>73.5</w:t>
            </w:r>
          </w:p>
        </w:tc>
      </w:tr>
      <w:tr w:rsidR="009D5DD0" w:rsidRPr="002252AD" w14:paraId="348E654D" w14:textId="77777777" w:rsidTr="00E247DD">
        <w:trPr>
          <w:trHeight w:val="340"/>
        </w:trPr>
        <w:tc>
          <w:tcPr>
            <w:tcW w:w="374" w:type="pct"/>
            <w:tcBorders>
              <w:top w:val="nil"/>
              <w:left w:val="nil"/>
              <w:bottom w:val="double" w:sz="6" w:space="0" w:color="auto"/>
              <w:right w:val="single" w:sz="4" w:space="0" w:color="auto"/>
            </w:tcBorders>
            <w:shd w:val="clear" w:color="auto" w:fill="auto"/>
            <w:noWrap/>
            <w:vAlign w:val="center"/>
            <w:hideMark/>
          </w:tcPr>
          <w:p w14:paraId="0FFB4084" w14:textId="77777777" w:rsidR="009D5DD0" w:rsidRPr="00885E85" w:rsidRDefault="009D5DD0" w:rsidP="00385866">
            <w:pPr>
              <w:rPr>
                <w:rFonts w:ascii="Times New Roman" w:hAnsi="Times New Roman"/>
                <w:b/>
                <w:bCs/>
                <w:color w:val="000000"/>
                <w:sz w:val="20"/>
                <w:szCs w:val="20"/>
              </w:rPr>
            </w:pPr>
            <w:r>
              <w:rPr>
                <w:rFonts w:ascii="Times New Roman" w:hAnsi="Times New Roman"/>
                <w:b/>
                <w:color w:val="000000"/>
                <w:sz w:val="20"/>
              </w:rPr>
              <w:t>2019</w:t>
            </w:r>
          </w:p>
        </w:tc>
        <w:tc>
          <w:tcPr>
            <w:tcW w:w="364" w:type="pct"/>
            <w:tcBorders>
              <w:top w:val="single" w:sz="4" w:space="0" w:color="auto"/>
              <w:left w:val="single" w:sz="4" w:space="0" w:color="auto"/>
              <w:bottom w:val="double" w:sz="6" w:space="0" w:color="auto"/>
              <w:right w:val="single" w:sz="4" w:space="0" w:color="auto"/>
            </w:tcBorders>
            <w:shd w:val="clear" w:color="auto" w:fill="auto"/>
            <w:noWrap/>
            <w:vAlign w:val="center"/>
            <w:hideMark/>
          </w:tcPr>
          <w:p w14:paraId="34E6B822" w14:textId="77777777" w:rsidR="009D5DD0" w:rsidRPr="00885E85" w:rsidRDefault="009D5DD0" w:rsidP="00E247DD">
            <w:pPr>
              <w:jc w:val="center"/>
              <w:rPr>
                <w:rFonts w:ascii="Times New Roman" w:hAnsi="Times New Roman"/>
                <w:color w:val="00B050"/>
                <w:sz w:val="20"/>
                <w:szCs w:val="20"/>
              </w:rPr>
            </w:pPr>
            <w:r>
              <w:rPr>
                <w:rFonts w:ascii="Times New Roman" w:hAnsi="Times New Roman"/>
                <w:color w:val="00B050"/>
                <w:sz w:val="20"/>
              </w:rPr>
              <w:t>63.5</w:t>
            </w:r>
          </w:p>
        </w:tc>
        <w:tc>
          <w:tcPr>
            <w:tcW w:w="407" w:type="pct"/>
            <w:tcBorders>
              <w:top w:val="nil"/>
              <w:left w:val="nil"/>
              <w:bottom w:val="double" w:sz="6" w:space="0" w:color="auto"/>
              <w:right w:val="single" w:sz="4" w:space="0" w:color="auto"/>
            </w:tcBorders>
            <w:shd w:val="clear" w:color="auto" w:fill="auto"/>
            <w:noWrap/>
            <w:vAlign w:val="center"/>
            <w:hideMark/>
          </w:tcPr>
          <w:p w14:paraId="1232C254" w14:textId="77777777" w:rsidR="009D5DD0" w:rsidRPr="00885E85" w:rsidRDefault="009D5DD0" w:rsidP="00E247DD">
            <w:pPr>
              <w:jc w:val="center"/>
              <w:rPr>
                <w:rFonts w:ascii="Times New Roman" w:hAnsi="Times New Roman"/>
                <w:color w:val="000000"/>
                <w:sz w:val="20"/>
                <w:szCs w:val="20"/>
              </w:rPr>
            </w:pPr>
            <w:r>
              <w:rPr>
                <w:rFonts w:ascii="Times New Roman" w:hAnsi="Times New Roman"/>
                <w:color w:val="000000"/>
                <w:sz w:val="20"/>
              </w:rPr>
              <w:t>16.3</w:t>
            </w:r>
          </w:p>
        </w:tc>
        <w:tc>
          <w:tcPr>
            <w:tcW w:w="364" w:type="pct"/>
            <w:tcBorders>
              <w:top w:val="single" w:sz="4" w:space="0" w:color="auto"/>
              <w:left w:val="single" w:sz="4" w:space="0" w:color="auto"/>
              <w:bottom w:val="double" w:sz="6" w:space="0" w:color="auto"/>
              <w:right w:val="single" w:sz="4" w:space="0" w:color="auto"/>
            </w:tcBorders>
            <w:shd w:val="clear" w:color="auto" w:fill="auto"/>
            <w:noWrap/>
            <w:vAlign w:val="center"/>
            <w:hideMark/>
          </w:tcPr>
          <w:p w14:paraId="4055B90D" w14:textId="77777777" w:rsidR="009D5DD0" w:rsidRPr="00885E85" w:rsidRDefault="009D5DD0" w:rsidP="00E247DD">
            <w:pPr>
              <w:jc w:val="center"/>
              <w:rPr>
                <w:rFonts w:ascii="Times New Roman" w:hAnsi="Times New Roman"/>
                <w:color w:val="00B050"/>
                <w:sz w:val="20"/>
                <w:szCs w:val="20"/>
              </w:rPr>
            </w:pPr>
            <w:r>
              <w:rPr>
                <w:rFonts w:ascii="Times New Roman" w:hAnsi="Times New Roman"/>
                <w:color w:val="00B050"/>
                <w:sz w:val="20"/>
              </w:rPr>
              <w:t>8.3</w:t>
            </w:r>
          </w:p>
        </w:tc>
        <w:tc>
          <w:tcPr>
            <w:tcW w:w="407" w:type="pct"/>
            <w:tcBorders>
              <w:top w:val="nil"/>
              <w:left w:val="nil"/>
              <w:bottom w:val="double" w:sz="6" w:space="0" w:color="auto"/>
              <w:right w:val="single" w:sz="4" w:space="0" w:color="auto"/>
            </w:tcBorders>
            <w:shd w:val="clear" w:color="auto" w:fill="auto"/>
            <w:noWrap/>
            <w:vAlign w:val="center"/>
            <w:hideMark/>
          </w:tcPr>
          <w:p w14:paraId="33A90BD4" w14:textId="77777777" w:rsidR="009D5DD0" w:rsidRPr="00885E85" w:rsidRDefault="009D5DD0" w:rsidP="00E247DD">
            <w:pPr>
              <w:jc w:val="center"/>
              <w:rPr>
                <w:rFonts w:ascii="Times New Roman" w:hAnsi="Times New Roman"/>
                <w:color w:val="000000"/>
                <w:sz w:val="20"/>
                <w:szCs w:val="20"/>
              </w:rPr>
            </w:pPr>
            <w:r>
              <w:rPr>
                <w:rFonts w:ascii="Times New Roman" w:hAnsi="Times New Roman"/>
                <w:color w:val="000000"/>
                <w:sz w:val="20"/>
              </w:rPr>
              <w:t>2.5</w:t>
            </w:r>
          </w:p>
        </w:tc>
        <w:tc>
          <w:tcPr>
            <w:tcW w:w="364" w:type="pct"/>
            <w:tcBorders>
              <w:top w:val="single" w:sz="4" w:space="0" w:color="auto"/>
              <w:left w:val="single" w:sz="4" w:space="0" w:color="auto"/>
              <w:bottom w:val="double" w:sz="6" w:space="0" w:color="auto"/>
              <w:right w:val="single" w:sz="4" w:space="0" w:color="auto"/>
            </w:tcBorders>
            <w:shd w:val="clear" w:color="auto" w:fill="auto"/>
            <w:noWrap/>
            <w:vAlign w:val="center"/>
            <w:hideMark/>
          </w:tcPr>
          <w:p w14:paraId="77379143" w14:textId="77777777" w:rsidR="009D5DD0" w:rsidRPr="00885E85" w:rsidRDefault="009D5DD0" w:rsidP="00E247DD">
            <w:pPr>
              <w:jc w:val="center"/>
              <w:rPr>
                <w:rFonts w:ascii="Times New Roman" w:hAnsi="Times New Roman"/>
                <w:color w:val="00B050"/>
                <w:sz w:val="20"/>
                <w:szCs w:val="20"/>
              </w:rPr>
            </w:pPr>
            <w:r>
              <w:rPr>
                <w:rFonts w:ascii="Times New Roman" w:hAnsi="Times New Roman"/>
                <w:color w:val="00B050"/>
                <w:sz w:val="20"/>
              </w:rPr>
              <w:t>8.9</w:t>
            </w:r>
          </w:p>
        </w:tc>
        <w:tc>
          <w:tcPr>
            <w:tcW w:w="407" w:type="pct"/>
            <w:tcBorders>
              <w:top w:val="nil"/>
              <w:left w:val="nil"/>
              <w:bottom w:val="double" w:sz="6" w:space="0" w:color="auto"/>
              <w:right w:val="single" w:sz="4" w:space="0" w:color="auto"/>
            </w:tcBorders>
            <w:shd w:val="clear" w:color="auto" w:fill="auto"/>
            <w:noWrap/>
            <w:vAlign w:val="center"/>
            <w:hideMark/>
          </w:tcPr>
          <w:p w14:paraId="29CCC1F5" w14:textId="77777777" w:rsidR="009D5DD0" w:rsidRPr="00885E85" w:rsidRDefault="009D5DD0" w:rsidP="00E247DD">
            <w:pPr>
              <w:jc w:val="center"/>
              <w:rPr>
                <w:rFonts w:ascii="Times New Roman" w:hAnsi="Times New Roman"/>
                <w:color w:val="000000"/>
                <w:sz w:val="20"/>
                <w:szCs w:val="20"/>
              </w:rPr>
            </w:pPr>
            <w:r>
              <w:rPr>
                <w:rFonts w:ascii="Times New Roman" w:hAnsi="Times New Roman"/>
                <w:color w:val="000000"/>
                <w:sz w:val="20"/>
              </w:rPr>
              <w:t>5.5</w:t>
            </w:r>
          </w:p>
        </w:tc>
        <w:tc>
          <w:tcPr>
            <w:tcW w:w="364" w:type="pct"/>
            <w:tcBorders>
              <w:top w:val="single" w:sz="4" w:space="0" w:color="auto"/>
              <w:left w:val="single" w:sz="4" w:space="0" w:color="auto"/>
              <w:bottom w:val="double" w:sz="6" w:space="0" w:color="auto"/>
              <w:right w:val="single" w:sz="4" w:space="0" w:color="auto"/>
            </w:tcBorders>
            <w:shd w:val="clear" w:color="auto" w:fill="auto"/>
            <w:noWrap/>
            <w:vAlign w:val="center"/>
            <w:hideMark/>
          </w:tcPr>
          <w:p w14:paraId="2F39AF58" w14:textId="77777777" w:rsidR="009D5DD0" w:rsidRPr="00885E85" w:rsidRDefault="009D5DD0" w:rsidP="00E247DD">
            <w:pPr>
              <w:jc w:val="center"/>
              <w:rPr>
                <w:rFonts w:ascii="Times New Roman" w:hAnsi="Times New Roman"/>
                <w:color w:val="9C0006"/>
                <w:sz w:val="20"/>
                <w:szCs w:val="20"/>
              </w:rPr>
            </w:pPr>
            <w:r>
              <w:rPr>
                <w:rFonts w:ascii="Times New Roman" w:hAnsi="Times New Roman"/>
                <w:color w:val="9C0006"/>
                <w:sz w:val="20"/>
              </w:rPr>
              <w:t>1.1</w:t>
            </w:r>
          </w:p>
        </w:tc>
        <w:tc>
          <w:tcPr>
            <w:tcW w:w="407" w:type="pct"/>
            <w:tcBorders>
              <w:top w:val="nil"/>
              <w:left w:val="nil"/>
              <w:bottom w:val="double" w:sz="6" w:space="0" w:color="auto"/>
              <w:right w:val="single" w:sz="4" w:space="0" w:color="auto"/>
            </w:tcBorders>
            <w:shd w:val="clear" w:color="auto" w:fill="auto"/>
            <w:noWrap/>
            <w:vAlign w:val="center"/>
            <w:hideMark/>
          </w:tcPr>
          <w:p w14:paraId="5308868E" w14:textId="77777777" w:rsidR="009D5DD0" w:rsidRPr="00885E85" w:rsidRDefault="009D5DD0" w:rsidP="00E247DD">
            <w:pPr>
              <w:jc w:val="center"/>
              <w:rPr>
                <w:rFonts w:ascii="Times New Roman" w:hAnsi="Times New Roman"/>
                <w:color w:val="000000"/>
                <w:sz w:val="20"/>
                <w:szCs w:val="20"/>
              </w:rPr>
            </w:pPr>
            <w:r>
              <w:rPr>
                <w:rFonts w:ascii="Times New Roman" w:hAnsi="Times New Roman"/>
                <w:color w:val="000000"/>
                <w:sz w:val="20"/>
              </w:rPr>
              <w:t>2.7</w:t>
            </w:r>
          </w:p>
        </w:tc>
        <w:tc>
          <w:tcPr>
            <w:tcW w:w="364" w:type="pct"/>
            <w:tcBorders>
              <w:top w:val="single" w:sz="4" w:space="0" w:color="auto"/>
              <w:left w:val="single" w:sz="4" w:space="0" w:color="auto"/>
              <w:bottom w:val="double" w:sz="6" w:space="0" w:color="auto"/>
              <w:right w:val="single" w:sz="4" w:space="0" w:color="auto"/>
            </w:tcBorders>
            <w:shd w:val="clear" w:color="auto" w:fill="auto"/>
            <w:noWrap/>
            <w:vAlign w:val="center"/>
            <w:hideMark/>
          </w:tcPr>
          <w:p w14:paraId="091EC949" w14:textId="77777777" w:rsidR="009D5DD0" w:rsidRPr="00885E85" w:rsidRDefault="009D5DD0" w:rsidP="00E247DD">
            <w:pPr>
              <w:jc w:val="center"/>
              <w:rPr>
                <w:rFonts w:ascii="Times New Roman" w:hAnsi="Times New Roman"/>
                <w:color w:val="00B050"/>
                <w:sz w:val="20"/>
                <w:szCs w:val="20"/>
              </w:rPr>
            </w:pPr>
            <w:r>
              <w:rPr>
                <w:rFonts w:ascii="Times New Roman" w:hAnsi="Times New Roman"/>
                <w:color w:val="00B050"/>
                <w:sz w:val="20"/>
              </w:rPr>
              <w:t>81.8</w:t>
            </w:r>
          </w:p>
        </w:tc>
        <w:tc>
          <w:tcPr>
            <w:tcW w:w="407" w:type="pct"/>
            <w:tcBorders>
              <w:top w:val="nil"/>
              <w:left w:val="nil"/>
              <w:bottom w:val="double" w:sz="6" w:space="0" w:color="auto"/>
              <w:right w:val="single" w:sz="4" w:space="0" w:color="auto"/>
            </w:tcBorders>
            <w:shd w:val="clear" w:color="auto" w:fill="auto"/>
            <w:noWrap/>
            <w:vAlign w:val="center"/>
            <w:hideMark/>
          </w:tcPr>
          <w:p w14:paraId="7D1CA4DF" w14:textId="77777777" w:rsidR="009D5DD0" w:rsidRPr="00885E85" w:rsidRDefault="009D5DD0" w:rsidP="00E247DD">
            <w:pPr>
              <w:jc w:val="center"/>
              <w:rPr>
                <w:rFonts w:ascii="Times New Roman" w:hAnsi="Times New Roman"/>
                <w:color w:val="000000"/>
                <w:sz w:val="20"/>
                <w:szCs w:val="20"/>
              </w:rPr>
            </w:pPr>
            <w:r>
              <w:rPr>
                <w:rFonts w:ascii="Times New Roman" w:hAnsi="Times New Roman"/>
                <w:color w:val="000000"/>
                <w:sz w:val="20"/>
              </w:rPr>
              <w:t>27.5</w:t>
            </w:r>
          </w:p>
        </w:tc>
        <w:tc>
          <w:tcPr>
            <w:tcW w:w="364" w:type="pct"/>
            <w:tcBorders>
              <w:top w:val="single" w:sz="4" w:space="0" w:color="auto"/>
              <w:left w:val="single" w:sz="4" w:space="0" w:color="auto"/>
              <w:bottom w:val="double" w:sz="6" w:space="0" w:color="auto"/>
              <w:right w:val="single" w:sz="4" w:space="0" w:color="auto"/>
            </w:tcBorders>
            <w:shd w:val="clear" w:color="auto" w:fill="auto"/>
            <w:noWrap/>
            <w:vAlign w:val="center"/>
            <w:hideMark/>
          </w:tcPr>
          <w:p w14:paraId="4EEDF76C" w14:textId="77777777" w:rsidR="009D5DD0" w:rsidRPr="00885E85" w:rsidRDefault="009D5DD0" w:rsidP="00E247DD">
            <w:pPr>
              <w:jc w:val="center"/>
              <w:rPr>
                <w:rFonts w:ascii="Times New Roman" w:hAnsi="Times New Roman"/>
                <w:color w:val="9C0006"/>
                <w:sz w:val="20"/>
                <w:szCs w:val="20"/>
              </w:rPr>
            </w:pPr>
            <w:r>
              <w:rPr>
                <w:rFonts w:ascii="Times New Roman" w:hAnsi="Times New Roman"/>
                <w:color w:val="9C0006"/>
                <w:sz w:val="20"/>
              </w:rPr>
              <w:t>15.9</w:t>
            </w:r>
          </w:p>
        </w:tc>
        <w:tc>
          <w:tcPr>
            <w:tcW w:w="406" w:type="pct"/>
            <w:tcBorders>
              <w:top w:val="nil"/>
              <w:left w:val="nil"/>
              <w:bottom w:val="double" w:sz="6" w:space="0" w:color="auto"/>
              <w:right w:val="nil"/>
            </w:tcBorders>
            <w:shd w:val="clear" w:color="auto" w:fill="auto"/>
            <w:noWrap/>
            <w:vAlign w:val="center"/>
            <w:hideMark/>
          </w:tcPr>
          <w:p w14:paraId="1A39C02E" w14:textId="77777777" w:rsidR="009D5DD0" w:rsidRPr="00885E85" w:rsidRDefault="009D5DD0" w:rsidP="00E247DD">
            <w:pPr>
              <w:jc w:val="center"/>
              <w:rPr>
                <w:rFonts w:ascii="Times New Roman" w:hAnsi="Times New Roman"/>
                <w:color w:val="000000"/>
                <w:sz w:val="20"/>
                <w:szCs w:val="20"/>
              </w:rPr>
            </w:pPr>
            <w:r>
              <w:rPr>
                <w:rFonts w:ascii="Times New Roman" w:hAnsi="Times New Roman"/>
                <w:color w:val="000000"/>
                <w:sz w:val="20"/>
              </w:rPr>
              <w:t>72.6</w:t>
            </w:r>
          </w:p>
        </w:tc>
      </w:tr>
    </w:tbl>
    <w:p w14:paraId="55D1047A" w14:textId="48FDBCDB" w:rsidR="009D5DD0" w:rsidRPr="00D21BB5" w:rsidRDefault="009D5DD0" w:rsidP="009D5DD0">
      <w:pPr>
        <w:pStyle w:val="CORPO"/>
        <w:ind w:firstLine="0"/>
        <w:jc w:val="center"/>
        <w:rPr>
          <w:rFonts w:ascii="Times New Roman" w:hAnsi="Times New Roman" w:cs="Times New Roman"/>
          <w:sz w:val="18"/>
          <w:szCs w:val="18"/>
        </w:rPr>
      </w:pPr>
      <w:r>
        <w:rPr>
          <w:rFonts w:ascii="Times New Roman" w:hAnsi="Times New Roman"/>
          <w:sz w:val="18"/>
        </w:rPr>
        <w:t xml:space="preserve">Source: </w:t>
      </w:r>
      <w:r w:rsidR="00C725EE">
        <w:rPr>
          <w:rFonts w:ascii="Times New Roman" w:hAnsi="Times New Roman"/>
          <w:sz w:val="18"/>
        </w:rPr>
        <w:t xml:space="preserve">2020 </w:t>
      </w:r>
      <w:r>
        <w:rPr>
          <w:rFonts w:ascii="Times New Roman" w:hAnsi="Times New Roman"/>
          <w:sz w:val="18"/>
        </w:rPr>
        <w:t>National Energy Balance (BEN)</w:t>
      </w:r>
      <w:r w:rsidR="000B22B5" w:rsidRPr="000B22B5">
        <w:rPr>
          <w:rStyle w:val="Refdenotaderodap"/>
          <w:rFonts w:ascii="Times New Roman" w:hAnsi="Times New Roman"/>
          <w:sz w:val="18"/>
          <w:szCs w:val="16"/>
        </w:rPr>
        <w:footnoteReference w:id="6"/>
      </w:r>
      <w:r>
        <w:rPr>
          <w:rFonts w:ascii="Times New Roman" w:hAnsi="Times New Roman"/>
          <w:sz w:val="18"/>
        </w:rPr>
        <w:t xml:space="preserve"> and Energy Information Association.</w:t>
      </w:r>
    </w:p>
    <w:p w14:paraId="4EA59D6D" w14:textId="3412E4C8" w:rsidR="009D5DD0" w:rsidRDefault="00E247DD" w:rsidP="009D5DD0">
      <w:pPr>
        <w:pStyle w:val="CORPO"/>
        <w:ind w:firstLine="0"/>
        <w:jc w:val="center"/>
        <w:rPr>
          <w:rFonts w:ascii="Times New Roman" w:hAnsi="Times New Roman" w:cs="Times New Roman"/>
          <w:sz w:val="18"/>
          <w:szCs w:val="18"/>
        </w:rPr>
      </w:pPr>
      <w:r>
        <w:rPr>
          <w:rFonts w:ascii="Times New Roman" w:hAnsi="Times New Roman"/>
          <w:i/>
          <w:sz w:val="18"/>
        </w:rPr>
        <w:t>Note</w:t>
      </w:r>
      <w:r>
        <w:rPr>
          <w:rFonts w:ascii="Times New Roman" w:hAnsi="Times New Roman"/>
          <w:sz w:val="18"/>
        </w:rPr>
        <w:t>: green highlight</w:t>
      </w:r>
      <w:r w:rsidR="000141DD">
        <w:rPr>
          <w:rFonts w:ascii="Times New Roman" w:hAnsi="Times New Roman"/>
          <w:sz w:val="18"/>
        </w:rPr>
        <w:t>s</w:t>
      </w:r>
      <w:r>
        <w:rPr>
          <w:rFonts w:ascii="Times New Roman" w:hAnsi="Times New Roman"/>
          <w:sz w:val="18"/>
        </w:rPr>
        <w:t xml:space="preserve"> that the contribution of the respective source is greater in Brazil than in the world, and red indicates that the source has a greater weight in the generation of electrical energy in the rest of the planet.</w:t>
      </w:r>
    </w:p>
    <w:p w14:paraId="42954806" w14:textId="77777777" w:rsidR="009D5DD0" w:rsidRPr="002252AD" w:rsidRDefault="009D5DD0" w:rsidP="00A155FF">
      <w:pPr>
        <w:pStyle w:val="CORPO"/>
        <w:ind w:firstLine="0"/>
        <w:rPr>
          <w:rFonts w:ascii="Times New Roman" w:hAnsi="Times New Roman" w:cs="Times New Roman"/>
          <w:sz w:val="18"/>
          <w:szCs w:val="18"/>
        </w:rPr>
      </w:pPr>
    </w:p>
    <w:p w14:paraId="30FBB254" w14:textId="068DED07" w:rsidR="005E09CC" w:rsidRPr="002252AD" w:rsidRDefault="005E09CC" w:rsidP="005E09CC">
      <w:pPr>
        <w:pStyle w:val="Corpodetexto"/>
      </w:pPr>
      <w:r>
        <w:t xml:space="preserve">Table 1 shows that hydroelectric plants dominate the Brazilian electrical matrix – with a </w:t>
      </w:r>
      <w:r w:rsidR="00603991">
        <w:t xml:space="preserve">share of </w:t>
      </w:r>
      <w:r>
        <w:t xml:space="preserve">63.5% in 2019, although this percentage has decreased over the decade  –, and shows that wind energy – mainly generated in the Northeast </w:t>
      </w:r>
      <w:r w:rsidRPr="002252AD">
        <w:rPr>
          <w:color w:val="000000" w:themeColor="text1"/>
        </w:rPr>
        <w:fldChar w:fldCharType="begin"/>
      </w:r>
      <w:r>
        <w:rPr>
          <w:color w:val="000000" w:themeColor="text1"/>
        </w:rPr>
        <w:instrText xml:space="preserve"> ADDIN ZOTERO_ITEM CSL_CITATION {"citationID":"ZE5jKW0P","properties":{"formattedCitation":"(IBGE, 2016)","plainCitation":"(IBGE, 2016)","dontUpdate":true,"noteIndex":0},"citationItems":[{"id":58,"uris":["http://zotero.org/users/8767809/items/EPWCTF9M",["http://zotero.org/users/8767809/items/EPWCTF9M"]],"itemData":{"id":58,"type":"book","event-place":"Rio de Janeiro","number-of-pages":"100","publisher":"IBGE","publisher-place":"Rio de Janeiro","title":"Logística de Energia 2015: Redes e Fluxos de Energia","URL":"https://biblioteca.ibge.gov.br/index.php/biblioteca-catalogo?id=297260&amp;view=detalhes","author":[{"family":"IBGE","given":""}],"accessed":{"date-parts":[["2021",12,6]]},"issued":{"date-parts":[["2016"]]}}}],"schema":"https://github.com/citation-style-language/schema/raw/master/csl-citation.json"} </w:instrText>
      </w:r>
      <w:r w:rsidRPr="002252AD">
        <w:rPr>
          <w:color w:val="000000" w:themeColor="text1"/>
        </w:rPr>
        <w:fldChar w:fldCharType="separate"/>
      </w:r>
      <w:r w:rsidRPr="002252AD">
        <w:rPr>
          <w:color w:val="000000" w:themeColor="text1"/>
        </w:rPr>
        <w:t>(IBGE, 2016)</w:t>
      </w:r>
      <w:r w:rsidRPr="002252AD">
        <w:rPr>
          <w:color w:val="000000" w:themeColor="text1"/>
        </w:rPr>
        <w:fldChar w:fldCharType="end"/>
      </w:r>
      <w:r>
        <w:t xml:space="preserve"> – is becoming increasingly important on the national scene. This fact can be observed in Figure 1, which shows the growth rates in electricity generation from 2010 to 2019 for the different sources available in BEN </w:t>
      </w:r>
      <w:r w:rsidRPr="002252AD">
        <w:fldChar w:fldCharType="begin"/>
      </w:r>
      <w:r>
        <w:instrText xml:space="preserve"> ADDIN ZOTERO_ITEM CSL_CITATION {"citationID":"ERl6qrCB","properties":{"formattedCitation":"(BRASIL, 2020)","plainCitation":"(BRASIL, 2020)","noteIndex":0},"citationItems":[{"id":66,"uris":["http://zotero.org/users/8767809/items/CFJPX35X",["http://zotero.org/users/8767809/items/CFJPX35X"]],"itemData":{"id":66,"type":"document","publisher":"Ministério de Minas e Energia","title":"Balanço Energético Nacional 2020 - ano base 2019","URL":"https://www.epe.gov.br/sites-pt/publicacoes-dados-abertos/publicacoes/PublicacoesArquivos/publicacao-479/topico-528/BEN2020_sp.pdf","author":[{"family":"Brasil","given":""}],"accessed":{"date-parts":[["2021",12,13]]},"issued":{"date-parts":[["2020"]]}}}],"schema":"https://github.com/citation-style-language/schema/raw/master/csl-citation.json"} </w:instrText>
      </w:r>
      <w:r w:rsidRPr="002252AD">
        <w:fldChar w:fldCharType="separate"/>
      </w:r>
      <w:r w:rsidRPr="002252AD">
        <w:t>(</w:t>
      </w:r>
      <w:r w:rsidR="001A159C">
        <w:t>Brazil</w:t>
      </w:r>
      <w:r w:rsidRPr="002252AD">
        <w:t>, 2020)</w:t>
      </w:r>
      <w:r w:rsidRPr="002252AD">
        <w:fldChar w:fldCharType="end"/>
      </w:r>
      <w:r>
        <w:t>.</w:t>
      </w:r>
    </w:p>
    <w:p w14:paraId="42F5163C" w14:textId="77777777" w:rsidR="005E09CC" w:rsidRPr="002252AD" w:rsidRDefault="005E09CC" w:rsidP="005E09CC">
      <w:pPr>
        <w:pStyle w:val="Corpodetexto"/>
      </w:pPr>
    </w:p>
    <w:p w14:paraId="227DF9DC" w14:textId="4C45B97A" w:rsidR="009D5DD0" w:rsidRPr="005A03BB" w:rsidRDefault="005E09CC" w:rsidP="0061459A">
      <w:pPr>
        <w:pStyle w:val="Grfico"/>
      </w:pPr>
      <w:r>
        <w:t>Figure 1: Growth in the Generation of Different Energy Sources</w:t>
      </w:r>
      <w:r w:rsidRPr="005223D4">
        <w:rPr>
          <w:rStyle w:val="Refdenotaderodap"/>
        </w:rPr>
        <w:footnoteReference w:id="7"/>
      </w:r>
    </w:p>
    <w:p w14:paraId="37220B2F" w14:textId="08BB2FC7" w:rsidR="00FA7F54" w:rsidRDefault="00986378" w:rsidP="00610782">
      <w:pPr>
        <w:tabs>
          <w:tab w:val="center" w:pos="4800"/>
          <w:tab w:val="right" w:pos="9500"/>
        </w:tabs>
        <w:spacing w:after="0" w:line="260" w:lineRule="atLeast"/>
        <w:jc w:val="center"/>
        <w:rPr>
          <w:rFonts w:ascii="Times New Roman" w:hAnsi="Times New Roman"/>
          <w:color w:val="000000"/>
        </w:rPr>
      </w:pPr>
      <w:r>
        <w:rPr>
          <w:rFonts w:ascii="Times New Roman" w:hAnsi="Times New Roman"/>
          <w:noProof/>
          <w:color w:val="000000"/>
        </w:rPr>
        <w:drawing>
          <wp:inline distT="0" distB="0" distL="0" distR="0" wp14:anchorId="1024AAE8" wp14:editId="2550B5DC">
            <wp:extent cx="3946161" cy="2630774"/>
            <wp:effectExtent l="0" t="0" r="3810" b="0"/>
            <wp:docPr id="996666295"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6666295" name="Imagem 996666295"/>
                    <pic:cNvPicPr/>
                  </pic:nvPicPr>
                  <pic:blipFill>
                    <a:blip r:embed="rId12"/>
                    <a:stretch>
                      <a:fillRect/>
                    </a:stretch>
                  </pic:blipFill>
                  <pic:spPr>
                    <a:xfrm>
                      <a:off x="0" y="0"/>
                      <a:ext cx="3983626" cy="2655751"/>
                    </a:xfrm>
                    <a:prstGeom prst="rect">
                      <a:avLst/>
                    </a:prstGeom>
                  </pic:spPr>
                </pic:pic>
              </a:graphicData>
            </a:graphic>
          </wp:inline>
        </w:drawing>
      </w:r>
    </w:p>
    <w:p w14:paraId="7AB78064" w14:textId="2F2CB642" w:rsidR="00861E38" w:rsidRPr="00C75CE0" w:rsidRDefault="00861E38" w:rsidP="00C75CE0">
      <w:pPr>
        <w:pStyle w:val="CORPO"/>
        <w:ind w:firstLine="0"/>
        <w:jc w:val="center"/>
        <w:rPr>
          <w:rFonts w:ascii="Times New Roman" w:hAnsi="Times New Roman" w:cs="Times New Roman"/>
          <w:sz w:val="18"/>
          <w:szCs w:val="18"/>
        </w:rPr>
      </w:pPr>
      <w:r>
        <w:rPr>
          <w:rFonts w:ascii="Times New Roman" w:hAnsi="Times New Roman"/>
          <w:sz w:val="18"/>
        </w:rPr>
        <w:t xml:space="preserve">Source: </w:t>
      </w:r>
      <w:r w:rsidR="001A159C">
        <w:rPr>
          <w:rFonts w:ascii="Times New Roman" w:hAnsi="Times New Roman"/>
          <w:sz w:val="18"/>
        </w:rPr>
        <w:t>Brazil</w:t>
      </w:r>
      <w:r>
        <w:rPr>
          <w:rFonts w:ascii="Times New Roman" w:hAnsi="Times New Roman"/>
          <w:sz w:val="18"/>
        </w:rPr>
        <w:t xml:space="preserve"> (2020). </w:t>
      </w:r>
    </w:p>
    <w:p w14:paraId="6B533E57" w14:textId="063FE966" w:rsidR="00484BCE" w:rsidRPr="00484BCE" w:rsidRDefault="00484BCE" w:rsidP="00484BCE">
      <w:pPr>
        <w:pStyle w:val="Corpodetexto"/>
        <w:rPr>
          <w:color w:val="000000" w:themeColor="text1"/>
        </w:rPr>
      </w:pPr>
      <w:r>
        <w:rPr>
          <w:color w:val="000000" w:themeColor="text1"/>
        </w:rPr>
        <w:lastRenderedPageBreak/>
        <w:t xml:space="preserve">Considering that renewable sources account for around 80% of electricity generation, the Brazilian electrical matrix is ​​extremely clean when compared to the rest of the world. However, it is still largely dependent on </w:t>
      </w:r>
      <w:r w:rsidR="000A3158">
        <w:rPr>
          <w:color w:val="000000" w:themeColor="text1"/>
        </w:rPr>
        <w:t>hydroelectric</w:t>
      </w:r>
      <w:r>
        <w:rPr>
          <w:color w:val="000000" w:themeColor="text1"/>
        </w:rPr>
        <w:t xml:space="preserve"> sources, which has led to a number of concerns about the security of electricity supply over the last decade due to successive water crises</w:t>
      </w:r>
      <w:r w:rsidR="00BB02B2">
        <w:rPr>
          <w:color w:val="000000" w:themeColor="text1"/>
        </w:rPr>
        <w:t xml:space="preserve"> </w:t>
      </w:r>
      <w:r w:rsidRPr="00484BCE">
        <w:rPr>
          <w:rFonts w:cs="Times New Roman"/>
          <w:color w:val="000000" w:themeColor="text1"/>
        </w:rPr>
        <w:fldChar w:fldCharType="begin"/>
      </w:r>
      <w:r w:rsidRPr="00484BCE">
        <w:rPr>
          <w:rFonts w:cs="Times New Roman"/>
          <w:color w:val="000000" w:themeColor="text1"/>
        </w:rPr>
        <w:instrText xml:space="preserve"> ADDIN ZOTERO_ITEM CSL_CITATION {"citationID":"CmQp1re1","properties":{"formattedCitation":"(SILVA; NETO; SEIFERT, 2016)","plainCitation":"(SILVA; NETO; SEIFERT, 2016)","noteIndex":0},"citationItems":[{"id":113,"uris":["http://zotero.org/users/8767809/items/6ZEV3AKD"],"itemData":{"id":113,"type":"article-journal","abstract":"Hydropower is the backbone of the Brazilian electricity generation sector. Even though the use of this resource is advantaged in terms of greenhouse gas emissions, last years׳ severe droughts have exposed the country׳s huge dependency on hydroelectricity. Brazil׳s electricity supply system has shown to be vulnerable to electricity shortages and has demanded significant overhaul in order to address its challenges. The present paper provides a comprehensive review of the current status of the Brazilian electricity sector and discusses diversification of electricity generation mix as a strategy to improve electricity supply security in the country. An overview of the main features of the energy sources applied in Brazil is also presented through a review of the latest available generation data. The central section of this work is a discussion of the main causes of the current crisis and the future role of renewable energy sources in a 10-year perspective.","container-title":"Renewable and Sustainable Energy Reviews","DOI":"10.1016/j.rser.2016.01.001","ISSN":"1364-0321","journalAbbreviation":"Renewable and Sustainable Energy Reviews","page":"328-341","source":"ScienceDirect","title":"Electricity supply security and the future role of renewable energy sources in Brazil","volume":"59","author":[{"family":"Silva","given":"Rodrigo"},{"family":"Neto","given":"Ismael"},{"family":"Seifert","given":"Stephan"}],"issued":{"date-parts":[["2016",6,1]]}}}],"schema":"https://github.com/citation-style-language/schema/raw/master/csl-citation.json"} </w:instrText>
      </w:r>
      <w:r w:rsidRPr="00484BCE">
        <w:rPr>
          <w:rFonts w:cs="Times New Roman"/>
          <w:color w:val="000000" w:themeColor="text1"/>
        </w:rPr>
        <w:fldChar w:fldCharType="separate"/>
      </w:r>
      <w:r w:rsidRPr="00484BCE">
        <w:rPr>
          <w:rFonts w:cs="Times New Roman"/>
          <w:color w:val="000000" w:themeColor="text1"/>
        </w:rPr>
        <w:t>(</w:t>
      </w:r>
      <w:r w:rsidR="00106ED7">
        <w:rPr>
          <w:rFonts w:cs="Times New Roman"/>
          <w:color w:val="000000" w:themeColor="text1"/>
        </w:rPr>
        <w:t>Silva</w:t>
      </w:r>
      <w:r w:rsidRPr="00484BCE">
        <w:rPr>
          <w:rFonts w:cs="Times New Roman"/>
          <w:color w:val="000000" w:themeColor="text1"/>
        </w:rPr>
        <w:t xml:space="preserve">; </w:t>
      </w:r>
      <w:r w:rsidR="00106ED7">
        <w:rPr>
          <w:rFonts w:cs="Times New Roman"/>
          <w:color w:val="000000" w:themeColor="text1"/>
        </w:rPr>
        <w:t>Neto</w:t>
      </w:r>
      <w:r w:rsidRPr="00484BCE">
        <w:rPr>
          <w:rFonts w:cs="Times New Roman"/>
          <w:color w:val="000000" w:themeColor="text1"/>
        </w:rPr>
        <w:t xml:space="preserve">; </w:t>
      </w:r>
      <w:r w:rsidR="00106ED7">
        <w:rPr>
          <w:rFonts w:cs="Times New Roman"/>
          <w:color w:val="000000" w:themeColor="text1"/>
        </w:rPr>
        <w:t>Seifert</w:t>
      </w:r>
      <w:r w:rsidRPr="00484BCE">
        <w:rPr>
          <w:rFonts w:cs="Times New Roman"/>
          <w:color w:val="000000" w:themeColor="text1"/>
        </w:rPr>
        <w:t>, 2016)</w:t>
      </w:r>
      <w:r w:rsidRPr="00484BCE">
        <w:rPr>
          <w:rFonts w:cs="Times New Roman"/>
          <w:color w:val="000000" w:themeColor="text1"/>
        </w:rPr>
        <w:fldChar w:fldCharType="end"/>
      </w:r>
      <w:r>
        <w:t>.</w:t>
      </w:r>
    </w:p>
    <w:p w14:paraId="738B841E" w14:textId="03D9156D" w:rsidR="00484BCE" w:rsidRPr="00484BCE" w:rsidRDefault="00484BCE" w:rsidP="00484BCE">
      <w:pPr>
        <w:pStyle w:val="Corpodetexto"/>
        <w:rPr>
          <w:color w:val="000000" w:themeColor="text1"/>
        </w:rPr>
      </w:pPr>
      <w:r>
        <w:rPr>
          <w:color w:val="000000" w:themeColor="text1"/>
        </w:rPr>
        <w:t>The diversification of Brazil's electricity matrix has been driven not only by strategic considerations, but also by the declining cost of other renewable sources</w:t>
      </w:r>
      <w:r w:rsidR="00BB02B2">
        <w:rPr>
          <w:color w:val="000000" w:themeColor="text1"/>
        </w:rPr>
        <w:t xml:space="preserve"> </w:t>
      </w:r>
      <w:r w:rsidRPr="00484BCE">
        <w:rPr>
          <w:color w:val="000000" w:themeColor="text1"/>
        </w:rPr>
        <w:fldChar w:fldCharType="begin"/>
      </w:r>
      <w:r w:rsidRPr="00484BCE">
        <w:rPr>
          <w:color w:val="000000" w:themeColor="text1"/>
        </w:rPr>
        <w:instrText xml:space="preserve"> ADDIN ZOTERO_ITEM CSL_CITATION {"citationID":"71Z4YIkO","properties":{"formattedCitation":"(ROSER, 2023)","plainCitation":"(ROSER, 2023)","noteIndex":0},"citationItems":[{"id":131,"uris":["http://zotero.org/users/8767809/items/5APTKVBA"],"itemData":{"id":131,"type":"article-journal","abstract":"In most places power from new renewables is now cheaper than new fossil fuels.","container-title":"Our World in Data","journalAbbreviation":"Our World in Data","source":"ourworldindata.org","title":"Why did renewables become so cheap so fast?","URL":"https://ourworldindata.org/cheap-renewables-growth","author":[{"family":"Roser","given":"Max"}],"accessed":{"date-parts":[["2023",12,23]]},"issued":{"date-parts":[["2023",9,27]]}}}],"schema":"https://github.com/citation-style-language/schema/raw/master/csl-citation.json"} </w:instrText>
      </w:r>
      <w:r w:rsidRPr="00484BCE">
        <w:rPr>
          <w:color w:val="000000" w:themeColor="text1"/>
        </w:rPr>
        <w:fldChar w:fldCharType="separate"/>
      </w:r>
      <w:r w:rsidRPr="00484BCE">
        <w:rPr>
          <w:color w:val="000000" w:themeColor="text1"/>
        </w:rPr>
        <w:t>(</w:t>
      </w:r>
      <w:r w:rsidR="00106ED7">
        <w:rPr>
          <w:color w:val="000000" w:themeColor="text1"/>
        </w:rPr>
        <w:t>Roser</w:t>
      </w:r>
      <w:r w:rsidRPr="00484BCE">
        <w:rPr>
          <w:color w:val="000000" w:themeColor="text1"/>
        </w:rPr>
        <w:t>, 2023)</w:t>
      </w:r>
      <w:r w:rsidRPr="00484BCE">
        <w:rPr>
          <w:color w:val="000000" w:themeColor="text1"/>
        </w:rPr>
        <w:fldChar w:fldCharType="end"/>
      </w:r>
      <w:r>
        <w:rPr>
          <w:color w:val="000000" w:themeColor="text1"/>
        </w:rPr>
        <w:t>, especially wind power. In particular, once transmission costs and externalities are taken into account, there is evidence that wind power is becoming the cheapest mean of generating electricity in Brazil</w:t>
      </w:r>
      <w:r w:rsidR="00BB02B2">
        <w:rPr>
          <w:color w:val="000000" w:themeColor="text1"/>
        </w:rPr>
        <w:t xml:space="preserve"> </w:t>
      </w:r>
      <w:r w:rsidRPr="00484BCE">
        <w:rPr>
          <w:color w:val="000000" w:themeColor="text1"/>
        </w:rPr>
        <w:fldChar w:fldCharType="begin"/>
      </w:r>
      <w:r w:rsidRPr="00484BCE">
        <w:rPr>
          <w:color w:val="000000" w:themeColor="text1"/>
        </w:rPr>
        <w:instrText xml:space="preserve"> ADDIN ZOTERO_ITEM CSL_CITATION {"citationID":"MCunTv1I","properties":{"formattedCitation":"(DE JONG; KIPERSTOK; TORRES, 2015)","plainCitation":"(DE JONG; KIPERSTOK; TORRES, 2015)","noteIndex":0},"citationItems":[{"id":129,"uris":["http://zotero.org/users/8767809/items/9JGMQQJB"],"itemData":{"id":129,"type":"article-journal","abstract":"This study compares the economic viability of renewable energy technologies – wind, solar photovoltaic, concentrated solar thermal, biomass and wave power – to traditional generation technologies including hydroelectricity, nuclear power, coal power and gas power sources. The Levelised cost of Electricity (LCOE) for different generation technologies in Brazil are calculated by reviewing existing published literature and examining 13 case study projects. Initial results found that using a low (5%) discount rate, the hydroelectric plants had the lowest LCOE, but were only slightly cheaper than the wind power case studies. However, using a high (10%) discount rate, one of the wind power case studies actually had the lowest LCOE. Solar photovoltaic (PV) was found to be the most expensive technology followed by wave power and concentrated solar thermal power (CSP). It will be shown that grid connected distributed PV and concentrated solar thermal technology are largely undeveloped in Brazil due to the high price associated with importing solar power equipment into Brazil and also due to ineffective federal government policy. The environmental and social externality costs of fossil fuel plants and large scale hydroelectric dams (in the Amazon region) are also discussed. It will be demonstrated that wind power becomes the cheapest generation technology in Brazil, once all externality and transmission line costs are taken into consideration.","container-title":"Renewable and Sustainable Energy Reviews","DOI":"10.1016/j.rser.2015.06.064","ISSN":"1364-0321","journalAbbreviation":"Renewable and Sustainable Energy Reviews","page":"725-739","source":"ScienceDirect","title":"Economic and environmental analysis of electricity generation technologies in Brazil","volume":"52","author":[{"family":"Jong","given":"Pieter","non-dropping-particle":"de"},{"family":"Kiperstok","given":"Asher"},{"family":"Torres","given":"Ednildo A."}],"issued":{"date-parts":[["2015",12,1]]}}}],"schema":"https://github.com/citation-style-language/schema/raw/master/csl-citation.json"} </w:instrText>
      </w:r>
      <w:r w:rsidRPr="00484BCE">
        <w:rPr>
          <w:color w:val="000000" w:themeColor="text1"/>
        </w:rPr>
        <w:fldChar w:fldCharType="separate"/>
      </w:r>
      <w:r w:rsidRPr="00484BCE">
        <w:rPr>
          <w:color w:val="000000" w:themeColor="text1"/>
        </w:rPr>
        <w:t>(D</w:t>
      </w:r>
      <w:r w:rsidR="00106ED7">
        <w:rPr>
          <w:color w:val="000000" w:themeColor="text1"/>
        </w:rPr>
        <w:t>e</w:t>
      </w:r>
      <w:r w:rsidRPr="00484BCE">
        <w:rPr>
          <w:color w:val="000000" w:themeColor="text1"/>
        </w:rPr>
        <w:t xml:space="preserve"> </w:t>
      </w:r>
      <w:r w:rsidR="00106ED7">
        <w:rPr>
          <w:color w:val="000000" w:themeColor="text1"/>
        </w:rPr>
        <w:t>Jong</w:t>
      </w:r>
      <w:r w:rsidRPr="00484BCE">
        <w:rPr>
          <w:color w:val="000000" w:themeColor="text1"/>
        </w:rPr>
        <w:t xml:space="preserve">; </w:t>
      </w:r>
      <w:r w:rsidR="00106ED7">
        <w:rPr>
          <w:color w:val="000000" w:themeColor="text1"/>
        </w:rPr>
        <w:t>Kiperstok</w:t>
      </w:r>
      <w:r w:rsidRPr="00484BCE">
        <w:rPr>
          <w:color w:val="000000" w:themeColor="text1"/>
        </w:rPr>
        <w:t xml:space="preserve">; </w:t>
      </w:r>
      <w:r w:rsidR="00106ED7">
        <w:rPr>
          <w:color w:val="000000" w:themeColor="text1"/>
        </w:rPr>
        <w:t>Torres</w:t>
      </w:r>
      <w:r w:rsidRPr="00484BCE">
        <w:rPr>
          <w:color w:val="000000" w:themeColor="text1"/>
        </w:rPr>
        <w:t>, 2015)</w:t>
      </w:r>
      <w:r w:rsidRPr="00484BCE">
        <w:rPr>
          <w:color w:val="000000" w:themeColor="text1"/>
        </w:rPr>
        <w:fldChar w:fldCharType="end"/>
      </w:r>
      <w:r>
        <w:t>.</w:t>
      </w:r>
    </w:p>
    <w:p w14:paraId="4A585E1F" w14:textId="763A8D36" w:rsidR="00484BCE" w:rsidRPr="00484BCE" w:rsidRDefault="00484BCE" w:rsidP="00484BCE">
      <w:pPr>
        <w:pStyle w:val="Corpodetexto"/>
        <w:rPr>
          <w:color w:val="000000" w:themeColor="text1"/>
        </w:rPr>
      </w:pPr>
      <w:r>
        <w:rPr>
          <w:color w:val="000000" w:themeColor="text1"/>
        </w:rPr>
        <w:t xml:space="preserve">In addition to the diversification of electricity generation, it is interesting to analyze its evolution throughout the 2010s. As shown above, electricity is an essential input for all productive activities, so blackouts or rationing can hinder growth. This relationship can be seen in Figure 2, </w:t>
      </w:r>
      <w:r w:rsidR="003F29AF">
        <w:rPr>
          <w:color w:val="000000" w:themeColor="text1"/>
        </w:rPr>
        <w:t>which shows</w:t>
      </w:r>
      <w:r>
        <w:rPr>
          <w:color w:val="000000" w:themeColor="text1"/>
        </w:rPr>
        <w:t xml:space="preserve"> the real growth of production in the electricity sector</w:t>
      </w:r>
      <w:r w:rsidRPr="00484BCE">
        <w:rPr>
          <w:rStyle w:val="Refdenotaderodap"/>
          <w:color w:val="000000" w:themeColor="text1"/>
        </w:rPr>
        <w:footnoteReference w:id="8"/>
      </w:r>
      <w:r w:rsidR="00BB02B2">
        <w:rPr>
          <w:color w:val="000000" w:themeColor="text1"/>
        </w:rPr>
        <w:t>,</w:t>
      </w:r>
      <w:r>
        <w:rPr>
          <w:color w:val="000000" w:themeColor="text1"/>
        </w:rPr>
        <w:t xml:space="preserve"> the percentage change in electricity consumption in TWh</w:t>
      </w:r>
      <w:r w:rsidR="00BB02B2">
        <w:rPr>
          <w:color w:val="000000" w:themeColor="text1"/>
        </w:rPr>
        <w:t xml:space="preserve"> </w:t>
      </w:r>
      <w:r w:rsidRPr="00484BCE">
        <w:rPr>
          <w:color w:val="000000" w:themeColor="text1"/>
        </w:rPr>
        <w:fldChar w:fldCharType="begin"/>
      </w:r>
      <w:r w:rsidRPr="00484BCE">
        <w:rPr>
          <w:color w:val="000000" w:themeColor="text1"/>
        </w:rPr>
        <w:instrText xml:space="preserve"> ADDIN ZOTERO_ITEM CSL_CITATION {"citationID":"zHsHjW7G","properties":{"formattedCitation":"(BRASIL, 2021)","plainCitation":"(BRASIL, 2021)","noteIndex":0},"citationItems":[{"id":9,"uris":["http://zotero.org/users/8767809/items/F54QHKBL",["http://zotero.org/users/8767809/items/F54QHKBL"]],"itemData":{"id":9,"type":"document","publisher":"Ministério de Minas e Energia","title":"Anuário Estatístico de Energia Elétrica 2021 - ano base 2020","URL":"https://www.epe.gov.br/pt/publicacoes-dados-abertos/publicacoes/anuario-estatistico-de-energia-eletrica","author":[{"family":"Brasil","given":""}],"accessed":{"date-parts":[["2021",10,7]]},"issued":{"date-parts":[["2021"]]}}}],"schema":"https://github.com/citation-style-language/schema/raw/master/csl-citation.json"} </w:instrText>
      </w:r>
      <w:r w:rsidRPr="00484BCE">
        <w:rPr>
          <w:color w:val="000000" w:themeColor="text1"/>
        </w:rPr>
        <w:fldChar w:fldCharType="separate"/>
      </w:r>
      <w:r w:rsidRPr="00484BCE">
        <w:rPr>
          <w:color w:val="000000" w:themeColor="text1"/>
        </w:rPr>
        <w:t>(</w:t>
      </w:r>
      <w:r w:rsidR="001A159C">
        <w:rPr>
          <w:color w:val="000000" w:themeColor="text1"/>
        </w:rPr>
        <w:t>Brazil</w:t>
      </w:r>
      <w:r w:rsidRPr="00484BCE">
        <w:rPr>
          <w:color w:val="000000" w:themeColor="text1"/>
        </w:rPr>
        <w:t>, 2021)</w:t>
      </w:r>
      <w:r w:rsidRPr="00484BCE">
        <w:rPr>
          <w:color w:val="000000" w:themeColor="text1"/>
        </w:rPr>
        <w:fldChar w:fldCharType="end"/>
      </w:r>
      <w:r>
        <w:rPr>
          <w:color w:val="000000" w:themeColor="text1"/>
        </w:rPr>
        <w:t xml:space="preserve"> and the real rate of change in Gross Domestic Product (GDP).</w:t>
      </w:r>
    </w:p>
    <w:p w14:paraId="4A14FB04" w14:textId="21EE933C" w:rsidR="00ED1D4E" w:rsidRDefault="00ED1D4E" w:rsidP="001772E7">
      <w:pPr>
        <w:tabs>
          <w:tab w:val="center" w:pos="4800"/>
          <w:tab w:val="right" w:pos="9500"/>
        </w:tabs>
        <w:spacing w:after="0" w:line="260" w:lineRule="atLeast"/>
        <w:rPr>
          <w:rFonts w:ascii="Times New Roman" w:hAnsi="Times New Roman"/>
          <w:b/>
        </w:rPr>
      </w:pPr>
    </w:p>
    <w:p w14:paraId="4C819AB0" w14:textId="014C7BBE" w:rsidR="00EB588E" w:rsidRPr="002252AD" w:rsidRDefault="00EB588E" w:rsidP="00EB588E">
      <w:pPr>
        <w:pStyle w:val="Grfico"/>
      </w:pPr>
      <w:r>
        <w:t>Figure 2: Relationship between Electricity Sector Growth and GDP</w:t>
      </w:r>
    </w:p>
    <w:p w14:paraId="0AED4BCC" w14:textId="43CBF2C1" w:rsidR="00EB588E" w:rsidRDefault="00106ED7" w:rsidP="00186AE4">
      <w:pPr>
        <w:tabs>
          <w:tab w:val="center" w:pos="4800"/>
          <w:tab w:val="right" w:pos="9500"/>
        </w:tabs>
        <w:spacing w:after="0" w:line="260" w:lineRule="atLeast"/>
        <w:jc w:val="center"/>
        <w:rPr>
          <w:rFonts w:ascii="Times New Roman" w:hAnsi="Times New Roman"/>
          <w:b/>
        </w:rPr>
      </w:pPr>
      <w:r>
        <w:rPr>
          <w:rFonts w:ascii="Times New Roman" w:hAnsi="Times New Roman"/>
          <w:b/>
          <w:noProof/>
        </w:rPr>
        <w:drawing>
          <wp:inline distT="0" distB="0" distL="0" distR="0" wp14:anchorId="022CAFBB" wp14:editId="1617235B">
            <wp:extent cx="4227227" cy="2818151"/>
            <wp:effectExtent l="0" t="0" r="1905" b="1270"/>
            <wp:docPr id="1468236219"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8236219" name="Imagem 1468236219"/>
                    <pic:cNvPicPr/>
                  </pic:nvPicPr>
                  <pic:blipFill>
                    <a:blip r:embed="rId13"/>
                    <a:stretch>
                      <a:fillRect/>
                    </a:stretch>
                  </pic:blipFill>
                  <pic:spPr>
                    <a:xfrm>
                      <a:off x="0" y="0"/>
                      <a:ext cx="4237944" cy="2825296"/>
                    </a:xfrm>
                    <a:prstGeom prst="rect">
                      <a:avLst/>
                    </a:prstGeom>
                  </pic:spPr>
                </pic:pic>
              </a:graphicData>
            </a:graphic>
          </wp:inline>
        </w:drawing>
      </w:r>
    </w:p>
    <w:p w14:paraId="795FF18B" w14:textId="379A7260" w:rsidR="00FE7B0A" w:rsidRPr="00D37B12" w:rsidRDefault="00FE7B0A" w:rsidP="00FE7B0A">
      <w:pPr>
        <w:pStyle w:val="CORPO"/>
        <w:ind w:firstLine="0"/>
        <w:jc w:val="center"/>
        <w:rPr>
          <w:rFonts w:ascii="Times New Roman" w:hAnsi="Times New Roman" w:cs="Times New Roman"/>
          <w:sz w:val="18"/>
          <w:szCs w:val="18"/>
        </w:rPr>
      </w:pPr>
      <w:r>
        <w:rPr>
          <w:rFonts w:ascii="Times New Roman" w:hAnsi="Times New Roman"/>
          <w:sz w:val="18"/>
        </w:rPr>
        <w:t xml:space="preserve">Source: IBGE and </w:t>
      </w:r>
      <w:r w:rsidR="001A159C">
        <w:rPr>
          <w:rFonts w:ascii="Times New Roman" w:hAnsi="Times New Roman"/>
          <w:sz w:val="18"/>
        </w:rPr>
        <w:t>Brazil</w:t>
      </w:r>
      <w:r>
        <w:rPr>
          <w:rFonts w:ascii="Times New Roman" w:hAnsi="Times New Roman"/>
          <w:sz w:val="18"/>
        </w:rPr>
        <w:t xml:space="preserve"> (2021).</w:t>
      </w:r>
    </w:p>
    <w:p w14:paraId="61ABB3D4" w14:textId="5E72EA1D" w:rsidR="00C77A54" w:rsidRPr="00C77A54" w:rsidRDefault="00C77A54" w:rsidP="00C77A54">
      <w:pPr>
        <w:autoSpaceDE w:val="0"/>
        <w:autoSpaceDN w:val="0"/>
        <w:adjustRightInd w:val="0"/>
        <w:spacing w:before="60" w:after="60" w:line="240" w:lineRule="auto"/>
        <w:ind w:firstLine="567"/>
        <w:jc w:val="both"/>
        <w:textAlignment w:val="center"/>
        <w:rPr>
          <w:rFonts w:ascii="Times New Roman" w:hAnsi="Times New Roman" w:cs="Baramond"/>
          <w:color w:val="000000"/>
        </w:rPr>
      </w:pPr>
      <w:r>
        <w:rPr>
          <w:rFonts w:ascii="Times New Roman" w:hAnsi="Times New Roman"/>
          <w:color w:val="000000"/>
        </w:rPr>
        <w:lastRenderedPageBreak/>
        <w:t xml:space="preserve">Figure 2 shows that during the period </w:t>
      </w:r>
      <w:r w:rsidR="00BB20C8">
        <w:rPr>
          <w:rFonts w:ascii="Times New Roman" w:hAnsi="Times New Roman"/>
          <w:color w:val="000000"/>
        </w:rPr>
        <w:t xml:space="preserve">of economic expansion </w:t>
      </w:r>
      <w:r>
        <w:rPr>
          <w:rFonts w:ascii="Times New Roman" w:hAnsi="Times New Roman"/>
          <w:color w:val="000000"/>
        </w:rPr>
        <w:t xml:space="preserve">until 2014, energy production and consumption grew more than GDP, </w:t>
      </w:r>
      <w:r w:rsidR="00AF660D" w:rsidRPr="00AF660D">
        <w:rPr>
          <w:rFonts w:ascii="Times New Roman" w:hAnsi="Times New Roman"/>
          <w:color w:val="000000"/>
        </w:rPr>
        <w:t xml:space="preserve">which was repeated during the recession of 2015 and 2016, when consumption and generation decreased more slowly. This trend continued during the economic stagnation experienced </w:t>
      </w:r>
      <w:r w:rsidR="00AF660D">
        <w:rPr>
          <w:rFonts w:ascii="Times New Roman" w:hAnsi="Times New Roman"/>
          <w:color w:val="000000"/>
        </w:rPr>
        <w:t>between</w:t>
      </w:r>
      <w:r w:rsidR="00AF660D" w:rsidRPr="00AF660D">
        <w:rPr>
          <w:rFonts w:ascii="Times New Roman" w:hAnsi="Times New Roman"/>
          <w:color w:val="000000"/>
        </w:rPr>
        <w:t xml:space="preserve"> 2017</w:t>
      </w:r>
      <w:r w:rsidR="00AF660D">
        <w:rPr>
          <w:rFonts w:ascii="Times New Roman" w:hAnsi="Times New Roman"/>
          <w:color w:val="000000"/>
        </w:rPr>
        <w:t xml:space="preserve"> and 2019</w:t>
      </w:r>
      <w:r w:rsidR="00AF660D" w:rsidRPr="00AF660D">
        <w:rPr>
          <w:rFonts w:ascii="Times New Roman" w:hAnsi="Times New Roman"/>
          <w:color w:val="000000"/>
        </w:rPr>
        <w:t>.</w:t>
      </w:r>
      <w:r>
        <w:rPr>
          <w:rFonts w:ascii="Times New Roman" w:hAnsi="Times New Roman"/>
          <w:color w:val="000000"/>
        </w:rPr>
        <w:t xml:space="preserve"> In fact, the analysis of consumption by class shows that the growth of all categories was greater between 2010 and 2013, and the downturn between 2013 and 2016 was driven by the industrial sector, which is the country’s main consumer of electricity </w:t>
      </w:r>
      <w:r w:rsidRPr="00C77A54">
        <w:rPr>
          <w:rFonts w:ascii="Times New Roman" w:hAnsi="Times New Roman" w:cs="Baramond"/>
          <w:color w:val="000000"/>
        </w:rPr>
        <w:fldChar w:fldCharType="begin"/>
      </w:r>
      <w:r w:rsidRPr="00C77A54">
        <w:rPr>
          <w:rFonts w:ascii="Times New Roman" w:hAnsi="Times New Roman" w:cs="Baramond"/>
          <w:color w:val="000000"/>
        </w:rPr>
        <w:instrText xml:space="preserve"> ADDIN ZOTERO_ITEM CSL_CITATION {"citationID":"hdCvnWvR","properties":{"formattedCitation":"(BRASIL, 2021)","plainCitation":"(BRASIL, 2021)","noteIndex":0},"citationItems":[{"id":9,"uris":["http://zotero.org/users/8767809/items/F54QHKBL",["http://zotero.org/users/8767809/items/F54QHKBL"]],"itemData":{"id":9,"type":"document","publisher":"Ministério de Minas e Energia","title":"Anuário Estatístico de Energia Elétrica 2021 - ano base 2020","URL":"https://www.epe.gov.br/pt/publicacoes-dados-abertos/publicacoes/anuario-estatistico-de-energia-eletrica","author":[{"family":"Brasil","given":""}],"accessed":{"date-parts":[["2021",10,7]]},"issued":{"date-parts":[["2021"]]}}}],"schema":"https://github.com/citation-style-language/schema/raw/master/csl-citation.json"} </w:instrText>
      </w:r>
      <w:r w:rsidRPr="00C77A54">
        <w:rPr>
          <w:rFonts w:ascii="Times New Roman" w:hAnsi="Times New Roman" w:cs="Baramond"/>
          <w:color w:val="000000"/>
        </w:rPr>
        <w:fldChar w:fldCharType="separate"/>
      </w:r>
      <w:r w:rsidRPr="00C77A54">
        <w:rPr>
          <w:rFonts w:ascii="Times New Roman" w:hAnsi="Times New Roman" w:cs="Baramond"/>
          <w:color w:val="000000"/>
        </w:rPr>
        <w:t>(</w:t>
      </w:r>
      <w:r w:rsidR="00020BFE">
        <w:rPr>
          <w:rFonts w:ascii="Times New Roman" w:hAnsi="Times New Roman" w:cs="Baramond"/>
          <w:color w:val="000000"/>
        </w:rPr>
        <w:t>Brazil</w:t>
      </w:r>
      <w:r w:rsidRPr="00C77A54">
        <w:rPr>
          <w:rFonts w:ascii="Times New Roman" w:hAnsi="Times New Roman" w:cs="Baramond"/>
          <w:color w:val="000000"/>
        </w:rPr>
        <w:t>, 2021)</w:t>
      </w:r>
      <w:r w:rsidRPr="00C77A54">
        <w:rPr>
          <w:rFonts w:ascii="Times New Roman" w:hAnsi="Times New Roman" w:cs="Baramond"/>
          <w:color w:val="000000"/>
        </w:rPr>
        <w:fldChar w:fldCharType="end"/>
      </w:r>
      <w:r>
        <w:rPr>
          <w:rFonts w:ascii="Times New Roman" w:hAnsi="Times New Roman"/>
          <w:color w:val="000000"/>
        </w:rPr>
        <w:t>.</w:t>
      </w:r>
    </w:p>
    <w:p w14:paraId="131EBAD6" w14:textId="77777777" w:rsidR="00C77A54" w:rsidRPr="00C77A54" w:rsidRDefault="00C77A54" w:rsidP="00C77A54">
      <w:pPr>
        <w:autoSpaceDE w:val="0"/>
        <w:autoSpaceDN w:val="0"/>
        <w:adjustRightInd w:val="0"/>
        <w:spacing w:before="60" w:after="60" w:line="240" w:lineRule="auto"/>
        <w:jc w:val="both"/>
        <w:textAlignment w:val="center"/>
        <w:rPr>
          <w:rFonts w:ascii="Times New Roman" w:hAnsi="Times New Roman" w:cs="Baramond"/>
          <w:color w:val="000000"/>
          <w:lang w:eastAsia="pt-BR"/>
        </w:rPr>
      </w:pPr>
    </w:p>
    <w:p w14:paraId="1CF27006" w14:textId="571667A1" w:rsidR="00C77A54" w:rsidRPr="00C77A54" w:rsidRDefault="00C77A54" w:rsidP="00C77A54">
      <w:pPr>
        <w:autoSpaceDE w:val="0"/>
        <w:autoSpaceDN w:val="0"/>
        <w:adjustRightInd w:val="0"/>
        <w:spacing w:after="0" w:line="260" w:lineRule="atLeast"/>
        <w:jc w:val="both"/>
        <w:textAlignment w:val="center"/>
        <w:outlineLvl w:val="0"/>
        <w:rPr>
          <w:rFonts w:ascii="Tahoma" w:hAnsi="Tahoma" w:cs="Tahoma"/>
          <w:b/>
          <w:color w:val="000000"/>
          <w:spacing w:val="2"/>
        </w:rPr>
      </w:pPr>
      <w:r>
        <w:rPr>
          <w:rFonts w:ascii="Tahoma" w:hAnsi="Tahoma"/>
          <w:b/>
          <w:color w:val="000000"/>
        </w:rPr>
        <w:t xml:space="preserve">3. Theoretical Framework </w:t>
      </w:r>
    </w:p>
    <w:p w14:paraId="1BC04636" w14:textId="77777777" w:rsidR="00C77A54" w:rsidRPr="00C77A54" w:rsidRDefault="00C77A54" w:rsidP="00C77A54">
      <w:pPr>
        <w:tabs>
          <w:tab w:val="center" w:pos="4800"/>
          <w:tab w:val="right" w:pos="9500"/>
        </w:tabs>
        <w:spacing w:after="0" w:line="260" w:lineRule="atLeast"/>
        <w:rPr>
          <w:rFonts w:ascii="Times New Roman" w:eastAsia="Times New Roman" w:hAnsi="Times New Roman"/>
          <w:b/>
          <w:lang w:eastAsia="pt-BR"/>
        </w:rPr>
      </w:pPr>
    </w:p>
    <w:p w14:paraId="3A5249A7" w14:textId="5EF9A51F" w:rsidR="00C77A54" w:rsidRPr="00C77A54" w:rsidRDefault="00C77A54" w:rsidP="00C77A54">
      <w:pPr>
        <w:tabs>
          <w:tab w:val="center" w:pos="4800"/>
          <w:tab w:val="right" w:pos="9500"/>
        </w:tabs>
        <w:spacing w:after="0" w:line="260" w:lineRule="atLeast"/>
        <w:outlineLvl w:val="1"/>
        <w:rPr>
          <w:rFonts w:ascii="Tahoma" w:eastAsia="Times New Roman" w:hAnsi="Tahoma" w:cs="Tahoma"/>
          <w:b/>
        </w:rPr>
      </w:pPr>
      <w:r>
        <w:rPr>
          <w:rFonts w:ascii="Tahoma" w:hAnsi="Tahoma"/>
          <w:b/>
        </w:rPr>
        <w:t>3.1. National Input-Product Matrix</w:t>
      </w:r>
    </w:p>
    <w:p w14:paraId="01E062D0" w14:textId="77777777" w:rsidR="00C77A54" w:rsidRPr="00C77A54" w:rsidRDefault="00C77A54" w:rsidP="00C77A54">
      <w:pPr>
        <w:tabs>
          <w:tab w:val="center" w:pos="4800"/>
          <w:tab w:val="right" w:pos="9500"/>
        </w:tabs>
        <w:spacing w:after="0" w:line="260" w:lineRule="atLeast"/>
        <w:rPr>
          <w:rFonts w:ascii="Tahoma" w:eastAsia="Times New Roman" w:hAnsi="Tahoma" w:cs="Tahoma"/>
          <w:b/>
          <w:lang w:eastAsia="pt-BR"/>
        </w:rPr>
      </w:pPr>
    </w:p>
    <w:p w14:paraId="183B828F" w14:textId="205F2A79" w:rsidR="00C77A54" w:rsidRDefault="00C77A54" w:rsidP="00C77A54">
      <w:pPr>
        <w:tabs>
          <w:tab w:val="center" w:pos="4800"/>
          <w:tab w:val="right" w:pos="9500"/>
        </w:tabs>
        <w:spacing w:after="0" w:line="260" w:lineRule="atLeast"/>
        <w:outlineLvl w:val="2"/>
        <w:rPr>
          <w:rFonts w:ascii="Tahoma" w:eastAsia="Times New Roman" w:hAnsi="Tahoma" w:cs="Tahoma"/>
          <w:b/>
        </w:rPr>
      </w:pPr>
      <w:r>
        <w:rPr>
          <w:rFonts w:ascii="Tahoma" w:hAnsi="Tahoma"/>
          <w:b/>
        </w:rPr>
        <w:t>3.1.1. Estimate of the National Input-Output Model</w:t>
      </w:r>
    </w:p>
    <w:p w14:paraId="23065024" w14:textId="77777777" w:rsidR="00D556DB" w:rsidRPr="00C77A54" w:rsidRDefault="00D556DB" w:rsidP="00C77A54">
      <w:pPr>
        <w:tabs>
          <w:tab w:val="center" w:pos="4800"/>
          <w:tab w:val="right" w:pos="9500"/>
        </w:tabs>
        <w:spacing w:after="0" w:line="260" w:lineRule="atLeast"/>
        <w:outlineLvl w:val="2"/>
        <w:rPr>
          <w:rFonts w:ascii="Tahoma" w:eastAsia="Times New Roman" w:hAnsi="Tahoma" w:cs="Tahoma"/>
          <w:b/>
          <w:lang w:eastAsia="pt-BR"/>
        </w:rPr>
      </w:pPr>
    </w:p>
    <w:p w14:paraId="10BAE386" w14:textId="17B33BEA" w:rsidR="00CF15BB" w:rsidRPr="002252AD" w:rsidRDefault="00CF15BB" w:rsidP="00CF15BB">
      <w:pPr>
        <w:pStyle w:val="Corpodetexto"/>
      </w:pPr>
      <w:r>
        <w:t xml:space="preserve">In Brazil, Input-Output Tables (IOTs) are published every five years by IBGE considering the dimensions </w:t>
      </w:r>
      <w:r>
        <w:rPr>
          <w:i/>
          <w:iCs/>
        </w:rPr>
        <w:t xml:space="preserve">product (m) </w:t>
      </w:r>
      <m:oMath>
        <m:r>
          <w:rPr>
            <w:rFonts w:ascii="Cambria Math" w:hAnsi="Cambria Math"/>
          </w:rPr>
          <m:t>×</m:t>
        </m:r>
      </m:oMath>
      <w:r>
        <w:rPr>
          <w:i/>
          <w:iCs/>
        </w:rPr>
        <w:t xml:space="preserve"> sector (n)</w:t>
      </w:r>
      <w:r w:rsidRPr="00BB02B2">
        <w:rPr>
          <w:rStyle w:val="Refdenotaderodap"/>
        </w:rPr>
        <w:footnoteReference w:id="9"/>
      </w:r>
      <w:r w:rsidRPr="00BB02B2">
        <w:t xml:space="preserve">. </w:t>
      </w:r>
      <w:r>
        <w:t xml:space="preserve">The matrices collect data on the entire Brazilian productive structure and include information on both domestic supply and demand for national and imported products, in addition to considering indirect taxes net of subsidies, trade and transport margins and the </w:t>
      </w:r>
      <w:r w:rsidR="002A5DA2">
        <w:t>value added</w:t>
      </w:r>
      <w:r>
        <w:t xml:space="preserve"> of each product and activity.</w:t>
      </w:r>
    </w:p>
    <w:p w14:paraId="6CB752EF" w14:textId="009C15AC" w:rsidR="00CF15BB" w:rsidRPr="00D21BB5" w:rsidRDefault="00CF15BB" w:rsidP="00CF15BB">
      <w:pPr>
        <w:pStyle w:val="Corpodetexto"/>
      </w:pPr>
      <w:r>
        <w:t xml:space="preserve">However, the periodicity of official IOTs does not allow annual </w:t>
      </w:r>
      <w:r w:rsidR="00C51AB6">
        <w:t>analysis</w:t>
      </w:r>
      <w:r>
        <w:t xml:space="preserve"> to be carried out, which can be circumvented through estimates based on </w:t>
      </w:r>
      <w:r w:rsidR="00C51AB6">
        <w:t>Uses and Resources</w:t>
      </w:r>
      <w:r>
        <w:t xml:space="preserve"> Tables (TRUs) and other data sources. For this reason, this paper uses of the methodology proposed by </w:t>
      </w:r>
      <w:r w:rsidRPr="00D21BB5">
        <w:fldChar w:fldCharType="begin"/>
      </w:r>
      <w:r>
        <w:instrText xml:space="preserve"> ADDIN ZOTERO_ITEM CSL_CITATION {"citationID":"kdXgZTZo","properties":{"formattedCitation":"(GUILHOTO; SESSO FILHO, 2010)","plainCitation":"(GUILHOTO; SESSO FILHO, 2010)","dontUpdate":true,"noteIndex":0},"citationItems":[{"id":16,"uris":["http://zotero.org/users/8767809/items/C6LGJ7P9",["http://zotero.org/users/8767809/items/C6LGJ7P9"]],"itemData":{"id":16,"type":"article-journal","abstract":"O presente estudo tem como objetivo avaliar a metodologia de estimação das matrizes de insumo-produto, a preços básicos, a partir dos dados preliminares das Contas Nacionais do Brasil. A mesma é testada para o ano de 2005, sendo que os resultados obtidos a partir da matriz de insumo-produto (versão definitiva) disponibilizada pelo IBGE e a matriz estimada pela metodologia proposta são comparados. Os resultados analisados consistem dos multiplicadores de emprego e produção e os índices de ligação intersetoriais de Rasmussen-Hirschman, indicadores econômicos baseados na teoria de insumo-produto. Conclui-se que as séries de indicadores econômicos da matriz estimada e da disponibilizada pelo IBGE não são diferentes, baseando-se em análise estatística (índices de correlação). Portanto, a metodologia proposta pode ser utilizada para a estimação de matrizes de insumo-produto nacionais para períodos em que existem somente dados preliminares e as análises estruturais da economia realizadas com as matrizes estimadas são válidas para o ano analisado.","container-title":"Revista Economia &amp; Tecnologia","DOI":"10.5380/ret.v6i4.26912","ISSN":"2238-1988, 2238-4715","issue":"4","journalAbbreviation":"RET","language":"pt","source":"DOI.org (Crossref)","title":"Estimação da matriz insumo-produto utilizando dados preliminares das contas nacionais: aplicação e análise de indicadores econômicos para o Brasil em 2005","title-short":"Estimação da matriz insumo-produto utilizando dados preliminares das contas nacionais","URL":"http://revistas.ufpr.br/ret/article/view/26912","volume":"6","author":[{"family":"Guilhoto","given":"Joaquim José Martins"},{"family":"Sesso Filho","given":"Umberto Antonio"}],"accessed":{"date-parts":[["2021",11,19]]},"issued":{"date-parts":[["2010",12,31]]}}}],"schema":"https://github.com/citation-style-language/schema/raw/master/csl-citation.json"} </w:instrText>
      </w:r>
      <w:r w:rsidRPr="00D21BB5">
        <w:fldChar w:fldCharType="separate"/>
      </w:r>
      <w:r w:rsidRPr="00D21BB5">
        <w:t>Guilhoto</w:t>
      </w:r>
      <w:r w:rsidR="005E365E">
        <w:t xml:space="preserve"> and </w:t>
      </w:r>
      <w:r w:rsidRPr="00D21BB5">
        <w:t>Sesso Filho (2005, 2010)</w:t>
      </w:r>
      <w:r w:rsidRPr="00D21BB5">
        <w:fldChar w:fldCharType="end"/>
      </w:r>
      <w:r>
        <w:t>, which consists of reconciling the resource tables of goods and services</w:t>
      </w:r>
      <w:r w:rsidRPr="005223D4">
        <w:rPr>
          <w:rStyle w:val="Refdenotaderodap"/>
        </w:rPr>
        <w:footnoteReference w:id="10"/>
      </w:r>
      <w:r>
        <w:t>, valued at basic prices, with the table of uses of goods and services</w:t>
      </w:r>
      <w:r w:rsidRPr="005223D4">
        <w:rPr>
          <w:rStyle w:val="Refdenotaderodap"/>
        </w:rPr>
        <w:footnoteReference w:id="11"/>
      </w:r>
      <w:r>
        <w:t>, which uses data at consumer prices.</w:t>
      </w:r>
    </w:p>
    <w:p w14:paraId="4FF5910F" w14:textId="45CF9B5A" w:rsidR="00CF15BB" w:rsidRPr="002252AD" w:rsidRDefault="00CF15BB" w:rsidP="00CF15BB">
      <w:pPr>
        <w:pStyle w:val="Corpodetexto"/>
        <w:rPr>
          <w:spacing w:val="-2"/>
        </w:rPr>
      </w:pPr>
      <w:r>
        <w:t xml:space="preserve">However, to avoid changes in relative prices and to make the matrices comparable over time, they </w:t>
      </w:r>
      <w:r w:rsidR="00563812">
        <w:t>must</w:t>
      </w:r>
      <w:r>
        <w:t xml:space="preserve"> be deflated. Given the way in which IBGE publishes national accounts and TRUs – with values ​​at current prices and those of the previous year, </w:t>
      </w:r>
      <w:r w:rsidR="00D153A9">
        <w:t>enabling</w:t>
      </w:r>
      <w:r>
        <w:t xml:space="preserve"> the construction of chained price </w:t>
      </w:r>
      <w:r w:rsidR="004539EE">
        <w:t>indexes</w:t>
      </w:r>
      <w:r>
        <w:t xml:space="preserve"> –, </w:t>
      </w:r>
      <w:r w:rsidR="00D767BA">
        <w:t>dividing by this price indexes results in non-additive matrices</w:t>
      </w:r>
      <w:r>
        <w:t>: in other words, the total deflated output is not equal to the sum of the deflated output of each sector/product.</w:t>
      </w:r>
    </w:p>
    <w:p w14:paraId="1ACADE91" w14:textId="33D881DE" w:rsidR="00CF15BB" w:rsidRPr="00D21BB5" w:rsidRDefault="00CF15BB" w:rsidP="00CF15BB">
      <w:pPr>
        <w:pStyle w:val="Corpodetexto"/>
      </w:pPr>
      <w:r>
        <w:t xml:space="preserve">According to </w:t>
      </w:r>
      <w:r w:rsidRPr="00D21BB5">
        <w:fldChar w:fldCharType="begin"/>
      </w:r>
      <w:r>
        <w:instrText xml:space="preserve"> ADDIN ZOTERO_ITEM CSL_CITATION {"citationID":"FrFJR44K","properties":{"formattedCitation":"(ALVES-PASSONI, 2019)","plainCitation":"(ALVES-PASSONI, 2019)","dontUpdate":true,"noteIndex":0},"citationItems":[{"id":77,"uris":["http://zotero.org/users/8767809/items/TF4QVH7R",["http://zotero.org/users/8767809/items/TF4QVH7R"]],"itemData":{"id":77,"type":"thesis","event-place":"Rio de Janeiro","language":"en","number-of-pages":"210","publisher":"UFRJ","publisher-place":"Rio de Janeiro","source":"Zotero","title":"Deindustrialization and Regressive Specialization in the Brazilian Economy Between 2000 and 2014: a critical assessment based on the input-output analysis","author":[{"family":"Alves-Passoni","given":"Patieene"}],"issued":{"date-parts":[["2019"]]}}}],"schema":"https://github.com/citation-style-language/schema/raw/master/csl-citation.json"} </w:instrText>
      </w:r>
      <w:r w:rsidRPr="00D21BB5">
        <w:fldChar w:fldCharType="separate"/>
      </w:r>
      <w:r w:rsidRPr="00D21BB5">
        <w:t>Alves-Passoni (2019, p. 81-85)</w:t>
      </w:r>
      <w:r w:rsidRPr="00D21BB5">
        <w:fldChar w:fldCharType="end"/>
      </w:r>
      <w:r>
        <w:t xml:space="preserve">, the nominal price change of a product is the result of a combination of two phenomena: </w:t>
      </w:r>
      <w:r w:rsidR="000E4F4C">
        <w:t xml:space="preserve">general </w:t>
      </w:r>
      <w:r>
        <w:t>inflation and the change in relative prices. Therefore, the author proposes a two-step method. Initially, the matrices are deflated by the most aggregate deflator – in this case, the gross value of the economy's production –, which eliminates the inflationary effect. Then, the volume index is adjusted by</w:t>
      </w:r>
      <w:r w:rsidR="00D153A9">
        <w:t xml:space="preserve"> the</w:t>
      </w:r>
      <w:r>
        <w:t xml:space="preserve"> </w:t>
      </w:r>
      <w:r>
        <w:lastRenderedPageBreak/>
        <w:t>chained price indexes specific to each cell of the matrix, eliminating the change in relative prices.</w:t>
      </w:r>
    </w:p>
    <w:p w14:paraId="73C92CA6" w14:textId="0BE4E6F0" w:rsidR="00CF15BB" w:rsidRPr="002252AD" w:rsidRDefault="00CF15BB" w:rsidP="00CF15BB">
      <w:pPr>
        <w:pStyle w:val="Corpodetexto"/>
        <w:rPr>
          <w:noProof/>
          <w:spacing w:val="-2"/>
        </w:rPr>
      </w:pPr>
      <w:r>
        <w:t xml:space="preserve">In practice, the matrix of uses at basic prices was estimated following </w:t>
      </w:r>
      <w:r w:rsidRPr="002252AD">
        <w:fldChar w:fldCharType="begin"/>
      </w:r>
      <w:r>
        <w:instrText xml:space="preserve"> ADDIN ZOTERO_ITEM CSL_CITATION {"citationID":"HL7Bpvr0","properties":{"formattedCitation":"(GUILHOTO; SESSO FILHO, 2010)","plainCitation":"(GUILHOTO; SESSO FILHO, 2010)","dontUpdate":true,"noteIndex":0},"citationItems":[{"id":16,"uris":["http://zotero.org/users/8767809/items/C6LGJ7P9",["http://zotero.org/users/8767809/items/C6LGJ7P9"]],"itemData":{"id":16,"type":"article-journal","abstract":"O presente estudo tem como objetivo avaliar a metodologia de estimação das matrizes de insumo-produto, a preços básicos, a partir dos dados preliminares das Contas Nacionais do Brasil. A mesma é testada para o ano de 2005, sendo que os resultados obtidos a partir da matriz de insumo-produto (versão definitiva) disponibilizada pelo IBGE e a matriz estimada pela metodologia proposta são comparados. Os resultados analisados consistem dos multiplicadores de emprego e produção e os índices de ligação intersetoriais de Rasmussen-Hirschman, indicadores econômicos baseados na teoria de insumo-produto. Conclui-se que as séries de indicadores econômicos da matriz estimada e da disponibilizada pelo IBGE não são diferentes, baseando-se em análise estatística (índices de correlação). Portanto, a metodologia proposta pode ser utilizada para a estimação de matrizes de insumo-produto nacionais para períodos em que existem somente dados preliminares e as análises estruturais da economia realizadas com as matrizes estimadas são válidas para o ano analisado.","container-title":"Revista Economia &amp; Tecnologia","DOI":"10.5380/ret.v6i4.26912","ISSN":"2238-1988, 2238-4715","issue":"4","journalAbbreviation":"RET","language":"pt","source":"DOI.org (Crossref)","title":"Estimação da matriz insumo-produto utilizando dados preliminares das contas nacionais: aplicação e análise de indicadores econômicos para o Brasil em 2005","title-short":"Estimação da matriz insumo-produto utilizando dados preliminares das contas nacionais","URL":"http://revistas.ufpr.br/ret/article/view/26912","volume":"6","author":[{"family":"Guilhoto","given":"Joaquim José Martins"},{"family":"Sesso Filho","given":"Umberto Antonio"}],"accessed":{"date-parts":[["2021",11,19]]},"issued":{"date-parts":[["2010",12,31]]}}}],"schema":"https://github.com/citation-style-language/schema/raw/master/csl-citation.json"} </w:instrText>
      </w:r>
      <w:r w:rsidRPr="002252AD">
        <w:fldChar w:fldCharType="separate"/>
      </w:r>
      <w:r w:rsidRPr="002252AD">
        <w:t>Guilhoto</w:t>
      </w:r>
      <w:r w:rsidR="005E365E">
        <w:t xml:space="preserve"> and </w:t>
      </w:r>
      <w:r w:rsidRPr="002252AD">
        <w:t>Sesso Filho (2005, 2010)</w:t>
      </w:r>
      <w:r w:rsidRPr="002252AD">
        <w:fldChar w:fldCharType="end"/>
      </w:r>
      <w:r>
        <w:t xml:space="preserve"> at both current prices and prices from the previous year, for each year between 2010 and 2019. After this process, the method described by Alves-Passoni (2019, p. 191-193) was applied to the TRUs at basic prices, using</w:t>
      </w:r>
      <w:r w:rsidR="00AB677A">
        <w:t xml:space="preserve"> as the most aggregated deflator the one with respect to the gross production value of the economy.</w:t>
      </w:r>
      <w:r>
        <w:t xml:space="preserve"> </w:t>
      </w:r>
    </w:p>
    <w:p w14:paraId="07C2E38E" w14:textId="56243470" w:rsidR="00CF15BB" w:rsidRPr="002F434D" w:rsidRDefault="00CF15BB" w:rsidP="00CF15BB">
      <w:pPr>
        <w:pStyle w:val="Corpodetexto"/>
        <w:rPr>
          <w:noProof/>
        </w:rPr>
      </w:pPr>
      <w:r>
        <w:t>Given the existence of inconsistencies in IBGE</w:t>
      </w:r>
      <w:r w:rsidR="00A76385">
        <w:t>’s</w:t>
      </w:r>
      <w:r>
        <w:t xml:space="preserve"> TRUs data</w:t>
      </w:r>
      <w:r w:rsidRPr="005223D4">
        <w:rPr>
          <w:rStyle w:val="Refdenotaderodap"/>
        </w:rPr>
        <w:footnoteReference w:id="12"/>
      </w:r>
      <w:r>
        <w:t xml:space="preserve">, the TRUs at basic prices from the previous year were adjusted using the procedure outlined in Appendix D of Alves-Passoni (2019). The GRAS method </w:t>
      </w:r>
      <w:r w:rsidRPr="00D21BB5">
        <w:fldChar w:fldCharType="begin"/>
      </w:r>
      <w:r>
        <w:instrText xml:space="preserve"> ADDIN ZOTERO_ITEM CSL_CITATION {"citationID":"xR5m3dgO","properties":{"formattedCitation":"(TEMURSHOEV; MILLER; BOUWMEESTER, 2013)","plainCitation":"(TEMURSHOEV; MILLER; BOUWMEESTER, 2013)","noteIndex":0},"citationItems":[{"id":80,"uris":["http://zotero.org/users/8767809/items/H6XTQ8MN",["http://zotero.org/users/8767809/items/H6XTQ8MN"]],"itemData":{"id":80,"type":"article-journal","abstract":"The GRAS method as presented by Junius and Oosterhaven [Junius, T. and J. Oosterhaven (2003) The Solution of Updating or Regionalizing a Matrix with Both Positive and Negative Elements. Economic Systems Research, 15, 87–96] assumes that every row and every column of a matrix to be balanced has at least one positive element. This might not necessarily be true in practice, in particular, when dealing with large-scale input–ouput tables, supply and use tables, social accounting matrices, or, for that matter, any other matrix. In this short note we relax this assumption and make available our MATLAB program for anyone interested in matrix GRASing. The same issue arises in the presentations of the KRAS method [Lenzen, M., B. Gallego and R. Wood (2009) Matrix Balancing Under Conflicting Information. Economic Systems Research, 21, 23–44] and the SUT–RAS method [Temurshoev, U. and M.P. Timmer (2011) Joint Estimation of Supply and Use Tables. Papers in Regional Science, 90, 863–882], which should be accordingly accounted for in their empirical applications.","container-title":"Economic Systems Research","DOI":"10.1080/09535314.2012.746645","ISSN":"0953-5314","issue":"3","note":"publisher: Routledge\n_eprint: https://doi.org/10.1080/09535314.2012.746645","page":"361-367","source":"Taylor and Francis+NEJM","title":"A Note on the Gras Method","volume":"25","author":[{"family":"Temurshoev","given":"Umed"},{"family":"Miller","given":"Ronald   E."},{"family":"Bouwmeester","given":"Maaike   C."}],"issued":{"date-parts":[["2013",9,1]]}}}],"schema":"https://github.com/citation-style-language/schema/raw/master/csl-citation.json"} </w:instrText>
      </w:r>
      <w:r w:rsidRPr="00D21BB5">
        <w:fldChar w:fldCharType="separate"/>
      </w:r>
      <w:r w:rsidRPr="00D21BB5">
        <w:t>(</w:t>
      </w:r>
      <w:r w:rsidR="00A76385">
        <w:t>Temurshoev</w:t>
      </w:r>
      <w:r w:rsidRPr="00D21BB5">
        <w:t xml:space="preserve">; </w:t>
      </w:r>
      <w:r w:rsidR="00A76385">
        <w:t>Miller</w:t>
      </w:r>
      <w:r w:rsidRPr="00D21BB5">
        <w:t xml:space="preserve">; </w:t>
      </w:r>
      <w:r w:rsidR="00A76385">
        <w:t>Bouwmeester</w:t>
      </w:r>
      <w:r w:rsidRPr="00D21BB5">
        <w:t>, 2013)</w:t>
      </w:r>
      <w:r w:rsidRPr="00D21BB5">
        <w:fldChar w:fldCharType="end"/>
      </w:r>
      <w:r>
        <w:t xml:space="preserve"> was applied to balance the system's tables, using as reference </w:t>
      </w:r>
      <w:r w:rsidR="00704BAD">
        <w:t xml:space="preserve">the </w:t>
      </w:r>
      <w:r>
        <w:t xml:space="preserve">vectors </w:t>
      </w:r>
      <w:r w:rsidR="00704BAD">
        <w:t>of</w:t>
      </w:r>
      <w:r>
        <w:t xml:space="preserve"> </w:t>
      </w:r>
      <w:r w:rsidR="00704BAD">
        <w:t>supply and demand</w:t>
      </w:r>
      <w:r>
        <w:t xml:space="preserve"> of products and sectors at basic prices from the previous year (before adjustments).</w:t>
      </w:r>
    </w:p>
    <w:p w14:paraId="5AA06CD1" w14:textId="4F945246" w:rsidR="00CF15BB" w:rsidRPr="002252AD" w:rsidRDefault="00CF15BB" w:rsidP="00CF15BB">
      <w:pPr>
        <w:pStyle w:val="Corpodetexto"/>
      </w:pPr>
      <w:r>
        <w:t xml:space="preserve">Once estimated and deflated, the IOTs were converted into sector </w:t>
      </w:r>
      <w:r>
        <w:rPr>
          <w:i/>
        </w:rPr>
        <w:t>x</w:t>
      </w:r>
      <w:r>
        <w:t xml:space="preserve"> sector dimension tables using the industry-based technology assumption, where each sector has only one type of technology; in other words, each product represents a fixed proportion each activity’s output </w:t>
      </w:r>
      <w:r w:rsidRPr="002252AD">
        <w:fldChar w:fldCharType="begin"/>
      </w:r>
      <w:r>
        <w:instrText xml:space="preserve"> ADDIN ZOTERO_ITEM CSL_CITATION {"citationID":"2d2LJDs4","properties":{"formattedCitation":"(MILLER; BLAIR, 2009)","plainCitation":"(MILLER; BLAIR, 2009)","dontUpdate":true,"noteIndex":0},"citationItems":[{"id":21,"uris":["http://zotero.org/users/8767809/items/DJB6UQP3",["http://zotero.org/users/8767809/items/DJB6UQP3"]],"itemData":{"id":21,"type":"book","abstract":"This edition of Ronald Miller and Peter Blair's classic textbook is an essential reference for students and scholars in the input-output research and applications community. The book has been fully revised and updated to reflect important developments in the field since its original publication. New topics covered include SAMs (and extended input-output models) and their connection to input-output data, structural decomposition analysis (SDA), multiplier decompositions, identifying important coefficients, and international input-output models. A major new feature of this edition is that it is also supported by an accompanying website with solutions to all problems, wide-ranging real-world data sets, and appendices with further information for more advanced readers. Input-Output Analysis is an ideal introduction to the subject for advanced undergraduate and graduate students in a wide variety of fields, including economics, regional science, regional economics, city, regional and urban planning, environmental planning, public policy analysis and public management.","edition":"2","event-place":"Cambridge","ISBN":"978-0-521-51713-3","note":"DOI: 10.1017/CBO9780511626982","publisher":"Cambridge University Press","publisher-place":"Cambridge","title":"Input-Output Analysis: Foundations and Extensions","URL":"https://www.cambridge.org/core/books/inputoutput-analysis/69827DA658E766CD1E17B1A47BA2B9C3","author":[{"family":"Miller","given":"Ronald E."},{"family":"Blair","given":"Peter D."}],"issued":{"date-parts":[["2009"]]}}}],"schema":"https://github.com/citation-style-language/schema/raw/master/csl-citation.json"} </w:instrText>
      </w:r>
      <w:r w:rsidRPr="002252AD">
        <w:fldChar w:fldCharType="separate"/>
      </w:r>
      <w:r w:rsidRPr="002252AD">
        <w:t>(</w:t>
      </w:r>
      <w:r w:rsidR="00AB677A">
        <w:t>Miller</w:t>
      </w:r>
      <w:r w:rsidRPr="002252AD">
        <w:t xml:space="preserve">; </w:t>
      </w:r>
      <w:r w:rsidR="00AB677A">
        <w:t>Blair</w:t>
      </w:r>
      <w:r w:rsidRPr="002252AD">
        <w:t>, 2009, p. 197)</w:t>
      </w:r>
      <w:r w:rsidRPr="002252AD">
        <w:fldChar w:fldCharType="end"/>
      </w:r>
      <w:r>
        <w:t xml:space="preserve">. </w:t>
      </w:r>
    </w:p>
    <w:p w14:paraId="577B6A89" w14:textId="77777777" w:rsidR="00CF15BB" w:rsidRPr="002252AD" w:rsidRDefault="00CF15BB" w:rsidP="00CF15BB">
      <w:pPr>
        <w:pStyle w:val="Corpodetexto"/>
      </w:pPr>
      <w:r>
        <w:t xml:space="preserve">It is worth noting that, although all estimated IOTs are of dimension 68, in order to facilitate visualization, the results presented in most of the graphs and indicators that appear throughout the article were made with the aggregation of these matrices to 25 activities, following the classification set out in the Appendix. </w:t>
      </w:r>
    </w:p>
    <w:p w14:paraId="34B2F717" w14:textId="77777777" w:rsidR="00CF15BB" w:rsidRPr="002252AD" w:rsidRDefault="00CF15BB" w:rsidP="00CF15BB">
      <w:pPr>
        <w:pStyle w:val="Corpodetexto"/>
      </w:pPr>
      <w:r>
        <w:t xml:space="preserve">With the estimated, deflated and aggregated matrices, it is possible to follow the model designed by </w:t>
      </w:r>
      <w:r w:rsidRPr="002252AD">
        <w:fldChar w:fldCharType="begin"/>
      </w:r>
      <w:r>
        <w:instrText xml:space="preserve"> ADDIN ZOTERO_ITEM CSL_CITATION {"citationID":"cyPLhjUs","properties":{"formattedCitation":"(LEONTIEF, 1986)","plainCitation":"(LEONTIEF, 1986)","dontUpdate":true,"noteIndex":0},"citationItems":[{"id":22,"uris":["http://zotero.org/users/8767809/items/EPSPFZGK",["http://zotero.org/users/8767809/items/EPSPFZGK"]],"itemData":{"id":22,"type":"book","abstract":"This collection of writings provides the only comprehensive introduction to the input-output model for which Leontief was awarded the Nobel Prize in 1973. The structural approach to economics developed by Leontief, and known as input-output analysis, paved the way for the transformation of economics into a truly empirical discipline that could utilize modern data processing technology. This thoroughly revised second edition includes twenty essays--twelve of which are new to this edition--that reflect the past developments and the present state of the field. Beginning with an introductory chapter, the book leads the reader into an understanding of the input-output approach--not only as formal theory but also as a research strategy and powerful tool for dealing with a complex modern economy.","edition":"Second Edition","event-place":"Oxford, New York","ISBN":"978-0-19-503527-8","number-of-pages":"448","publisher":"Oxford University Press","publisher-place":"Oxford, New York","source":"Oxford University Press","title":"Input-Output Economics","author":[{"family":"Leontief","given":"Wassily"}],"issued":{"date-parts":[["1986",3,27]]}}}],"schema":"https://github.com/citation-style-language/schema/raw/master/csl-citation.json"} </w:instrText>
      </w:r>
      <w:r w:rsidRPr="002252AD">
        <w:fldChar w:fldCharType="separate"/>
      </w:r>
      <w:r w:rsidRPr="002252AD">
        <w:t>Leontief (1986)</w:t>
      </w:r>
      <w:r w:rsidRPr="002252AD">
        <w:fldChar w:fldCharType="end"/>
      </w:r>
      <w:r>
        <w:t xml:space="preserve"> to analyze the intersectoral relations of the economy. Assuming that the production functions are of the Leontief type – that is, that the inputs are used in fixed proportions and without substitution – and with the additional assumption of constant prices, it is possible to define the matrix </w:t>
      </w:r>
      <m:oMath>
        <m:sSub>
          <m:sSubPr>
            <m:ctrlPr>
              <w:rPr>
                <w:rFonts w:ascii="Cambria Math" w:hAnsi="Cambria Math"/>
                <w:b/>
                <w:bCs/>
                <w:i/>
                <w:iCs/>
              </w:rPr>
            </m:ctrlPr>
          </m:sSubPr>
          <m:e>
            <m:r>
              <m:rPr>
                <m:sty m:val="bi"/>
              </m:rPr>
              <w:rPr>
                <w:rFonts w:ascii="Cambria Math" w:hAnsi="Cambria Math"/>
              </w:rPr>
              <m:t>A</m:t>
            </m:r>
          </m:e>
          <m:sub>
            <m:r>
              <w:rPr>
                <w:rFonts w:ascii="Cambria Math" w:hAnsi="Cambria Math"/>
              </w:rPr>
              <m:t>n</m:t>
            </m:r>
            <m:r>
              <m:rPr>
                <m:sty m:val="p"/>
              </m:rPr>
              <w:rPr>
                <w:rFonts w:ascii="Cambria Math" w:hAnsi="Cambria Math"/>
              </w:rPr>
              <m:t>×</m:t>
            </m:r>
            <m:r>
              <w:rPr>
                <w:rFonts w:ascii="Cambria Math" w:hAnsi="Cambria Math"/>
              </w:rPr>
              <m:t>n</m:t>
            </m:r>
          </m:sub>
        </m:sSub>
      </m:oMath>
      <w:r>
        <w:t xml:space="preserve"> of direct technical coefficients:</w:t>
      </w:r>
    </w:p>
    <w:p w14:paraId="50BE07B8" w14:textId="77777777" w:rsidR="00CF15BB" w:rsidRPr="002252AD" w:rsidRDefault="00CF15BB" w:rsidP="00CF15BB">
      <w:pPr>
        <w:pStyle w:val="Corpodetexto"/>
      </w:pPr>
    </w:p>
    <w:p w14:paraId="253AF9EF" w14:textId="77777777" w:rsidR="00CF15BB" w:rsidRPr="002F434D" w:rsidRDefault="00000000" w:rsidP="00CF15BB">
      <w:pPr>
        <w:pStyle w:val="Corpodetexto"/>
        <w:rPr>
          <w:rFonts w:eastAsiaTheme="minorEastAsia"/>
          <w:b/>
        </w:rPr>
      </w:pPr>
      <m:oMathPara>
        <m:oMath>
          <m:eqArr>
            <m:eqArrPr>
              <m:maxDist m:val="1"/>
              <m:ctrlPr>
                <w:rPr>
                  <w:rFonts w:ascii="Cambria Math" w:eastAsiaTheme="minorEastAsia" w:hAnsi="Cambria Math"/>
                  <w:i/>
                  <w:sz w:val="20"/>
                </w:rPr>
              </m:ctrlPr>
            </m:eqArrPr>
            <m:e>
              <m:sSub>
                <m:sSubPr>
                  <m:ctrlPr>
                    <w:rPr>
                      <w:rFonts w:ascii="Cambria Math" w:hAnsi="Cambria Math"/>
                      <w:b/>
                      <w:sz w:val="20"/>
                    </w:rPr>
                  </m:ctrlPr>
                </m:sSubPr>
                <m:e>
                  <m:r>
                    <m:rPr>
                      <m:sty m:val="b"/>
                    </m:rPr>
                    <w:rPr>
                      <w:rFonts w:ascii="Cambria Math" w:hAnsi="Cambria Math"/>
                      <w:sz w:val="20"/>
                    </w:rPr>
                    <m:t>A</m:t>
                  </m:r>
                </m:e>
                <m:sub>
                  <m:r>
                    <w:rPr>
                      <w:rFonts w:ascii="Cambria Math" w:hAnsi="Cambria Math"/>
                      <w:sz w:val="20"/>
                    </w:rPr>
                    <m:t>n×n</m:t>
                  </m:r>
                </m:sub>
              </m:sSub>
              <m:r>
                <m:rPr>
                  <m:sty m:val="p"/>
                </m:rPr>
                <w:rPr>
                  <w:rFonts w:ascii="Cambria Math" w:hAnsi="Cambria Math"/>
                  <w:sz w:val="20"/>
                </w:rPr>
                <m:t>=</m:t>
              </m:r>
              <m:d>
                <m:dPr>
                  <m:begChr m:val="["/>
                  <m:endChr m:val="]"/>
                  <m:ctrlPr>
                    <w:rPr>
                      <w:rFonts w:ascii="Cambria Math" w:hAnsi="Cambria Math"/>
                      <w:sz w:val="20"/>
                    </w:rPr>
                  </m:ctrlPr>
                </m:dPr>
                <m:e>
                  <m:m>
                    <m:mPr>
                      <m:plcHide m:val="1"/>
                      <m:mcs>
                        <m:mc>
                          <m:mcPr>
                            <m:count m:val="1"/>
                            <m:mcJc m:val="center"/>
                          </m:mcPr>
                        </m:mc>
                      </m:mcs>
                      <m:ctrlPr>
                        <w:rPr>
                          <w:rFonts w:ascii="Cambria Math" w:hAnsi="Cambria Math"/>
                          <w:sz w:val="20"/>
                        </w:rPr>
                      </m:ctrlPr>
                    </m:mPr>
                    <m:mr>
                      <m:e>
                        <m:sSub>
                          <m:sSubPr>
                            <m:ctrlPr>
                              <w:rPr>
                                <w:rFonts w:ascii="Cambria Math" w:hAnsi="Cambria Math"/>
                                <w:sz w:val="20"/>
                              </w:rPr>
                            </m:ctrlPr>
                          </m:sSubPr>
                          <m:e>
                            <m:r>
                              <w:rPr>
                                <w:rFonts w:ascii="Cambria Math" w:hAnsi="Cambria Math"/>
                                <w:sz w:val="20"/>
                              </w:rPr>
                              <m:t>a</m:t>
                            </m:r>
                          </m:e>
                          <m:sub>
                            <m:r>
                              <w:rPr>
                                <w:rFonts w:ascii="Cambria Math" w:hAnsi="Cambria Math"/>
                                <w:sz w:val="20"/>
                              </w:rPr>
                              <m:t>ij</m:t>
                            </m:r>
                          </m:sub>
                        </m:sSub>
                      </m:e>
                    </m:mr>
                  </m:m>
                </m:e>
              </m:d>
              <m:r>
                <m:rPr>
                  <m:sty m:val="p"/>
                </m:rPr>
                <w:rPr>
                  <w:rFonts w:ascii="Cambria Math" w:hAnsi="Cambria Math"/>
                  <w:sz w:val="20"/>
                </w:rPr>
                <m:t>=</m:t>
              </m:r>
              <m:d>
                <m:dPr>
                  <m:begChr m:val="["/>
                  <m:endChr m:val="]"/>
                  <m:ctrlPr>
                    <w:rPr>
                      <w:rFonts w:ascii="Cambria Math" w:hAnsi="Cambria Math"/>
                      <w:sz w:val="20"/>
                    </w:rPr>
                  </m:ctrlPr>
                </m:dPr>
                <m:e>
                  <m:m>
                    <m:mPr>
                      <m:plcHide m:val="1"/>
                      <m:mcs>
                        <m:mc>
                          <m:mcPr>
                            <m:count m:val="1"/>
                            <m:mcJc m:val="center"/>
                          </m:mcPr>
                        </m:mc>
                      </m:mcs>
                      <m:ctrlPr>
                        <w:rPr>
                          <w:rFonts w:ascii="Cambria Math" w:hAnsi="Cambria Math"/>
                          <w:sz w:val="20"/>
                        </w:rPr>
                      </m:ctrlPr>
                    </m:mPr>
                    <m:mr>
                      <m:e>
                        <m:f>
                          <m:fPr>
                            <m:ctrlPr>
                              <w:rPr>
                                <w:rFonts w:ascii="Cambria Math" w:hAnsi="Cambria Math"/>
                                <w:sz w:val="20"/>
                              </w:rPr>
                            </m:ctrlPr>
                          </m:fPr>
                          <m:num>
                            <m:sSub>
                              <m:sSubPr>
                                <m:ctrlPr>
                                  <w:rPr>
                                    <w:rFonts w:ascii="Cambria Math" w:hAnsi="Cambria Math"/>
                                    <w:sz w:val="20"/>
                                  </w:rPr>
                                </m:ctrlPr>
                              </m:sSubPr>
                              <m:e>
                                <m:r>
                                  <w:rPr>
                                    <w:rFonts w:ascii="Cambria Math" w:hAnsi="Cambria Math"/>
                                    <w:sz w:val="20"/>
                                  </w:rPr>
                                  <m:t>z</m:t>
                                </m:r>
                              </m:e>
                              <m:sub>
                                <m:r>
                                  <w:rPr>
                                    <w:rFonts w:ascii="Cambria Math" w:hAnsi="Cambria Math"/>
                                    <w:sz w:val="20"/>
                                  </w:rPr>
                                  <m:t>ij</m:t>
                                </m:r>
                              </m:sub>
                            </m:sSub>
                          </m:num>
                          <m:den>
                            <m:sSub>
                              <m:sSubPr>
                                <m:ctrlPr>
                                  <w:rPr>
                                    <w:rFonts w:ascii="Cambria Math" w:hAnsi="Cambria Math"/>
                                    <w:sz w:val="20"/>
                                  </w:rPr>
                                </m:ctrlPr>
                              </m:sSubPr>
                              <m:e>
                                <m:r>
                                  <w:rPr>
                                    <w:rFonts w:ascii="Cambria Math" w:hAnsi="Cambria Math"/>
                                    <w:sz w:val="20"/>
                                  </w:rPr>
                                  <m:t>x</m:t>
                                </m:r>
                              </m:e>
                              <m:sub>
                                <m:r>
                                  <w:rPr>
                                    <w:rFonts w:ascii="Cambria Math" w:hAnsi="Cambria Math"/>
                                    <w:sz w:val="20"/>
                                  </w:rPr>
                                  <m:t>j</m:t>
                                </m:r>
                              </m:sub>
                            </m:sSub>
                          </m:den>
                        </m:f>
                      </m:e>
                    </m:mr>
                  </m:m>
                </m:e>
              </m:d>
              <m:r>
                <m:rPr>
                  <m:sty m:val="p"/>
                </m:rPr>
                <w:rPr>
                  <w:rFonts w:ascii="Cambria Math" w:hAnsi="Cambria Math"/>
                  <w:sz w:val="20"/>
                </w:rPr>
                <m:t>,</m:t>
              </m:r>
              <m:r>
                <m:rPr>
                  <m:sty m:val="bi"/>
                </m:rPr>
                <w:rPr>
                  <w:rFonts w:ascii="Cambria Math" w:hAnsi="Cambria Math"/>
                  <w:sz w:val="20"/>
                </w:rPr>
                <m:t>#</m:t>
              </m:r>
              <m:d>
                <m:dPr>
                  <m:ctrlPr>
                    <w:rPr>
                      <w:rFonts w:ascii="Cambria Math" w:eastAsiaTheme="minorEastAsia" w:hAnsi="Cambria Math"/>
                      <w:i/>
                      <w:sz w:val="20"/>
                    </w:rPr>
                  </m:ctrlPr>
                </m:dPr>
                <m:e>
                  <m:r>
                    <w:rPr>
                      <w:rFonts w:ascii="Cambria Math" w:eastAsiaTheme="minorEastAsia" w:hAnsi="Cambria Math"/>
                      <w:sz w:val="20"/>
                    </w:rPr>
                    <m:t>1</m:t>
                  </m:r>
                </m:e>
              </m:d>
              <m:ctrlPr>
                <w:rPr>
                  <w:rFonts w:ascii="Cambria Math" w:hAnsi="Cambria Math"/>
                  <w:b/>
                  <w:i/>
                  <w:sz w:val="20"/>
                </w:rPr>
              </m:ctrlPr>
            </m:e>
          </m:eqArr>
        </m:oMath>
      </m:oMathPara>
    </w:p>
    <w:p w14:paraId="6293025D" w14:textId="77777777" w:rsidR="00CF15BB" w:rsidRPr="00D21BB5" w:rsidRDefault="00CF15BB" w:rsidP="00CF15BB">
      <w:pPr>
        <w:pStyle w:val="Corpodetexto"/>
      </w:pPr>
    </w:p>
    <w:p w14:paraId="3CCEA0FF" w14:textId="77777777" w:rsidR="00CF15BB" w:rsidRPr="002252AD" w:rsidRDefault="00CF15BB" w:rsidP="00CF15BB">
      <w:pPr>
        <w:pStyle w:val="Corpodetexto"/>
        <w:ind w:firstLine="0"/>
      </w:pPr>
      <w:r>
        <w:t xml:space="preserve">where </w:t>
      </w:r>
      <m:oMath>
        <m:sSub>
          <m:sSubPr>
            <m:ctrlPr>
              <w:rPr>
                <w:rFonts w:ascii="Cambria Math" w:hAnsi="Cambria Math"/>
              </w:rPr>
            </m:ctrlPr>
          </m:sSubPr>
          <m:e>
            <m:r>
              <w:rPr>
                <w:rFonts w:ascii="Cambria Math" w:hAnsi="Cambria Math"/>
              </w:rPr>
              <m:t>z</m:t>
            </m:r>
          </m:e>
          <m:sub>
            <m:r>
              <w:rPr>
                <w:rFonts w:ascii="Cambria Math" w:hAnsi="Cambria Math"/>
              </w:rPr>
              <m:t>ij</m:t>
            </m:r>
          </m:sub>
        </m:sSub>
      </m:oMath>
      <w:r>
        <w:t xml:space="preserve"> is the intermediate consumption that the sector </w:t>
      </w:r>
      <m:oMath>
        <m:r>
          <w:rPr>
            <w:rFonts w:ascii="Cambria Math" w:hAnsi="Cambria Math"/>
          </w:rPr>
          <m:t>j</m:t>
        </m:r>
      </m:oMath>
      <w:r>
        <w:t xml:space="preserve"> demanded from the activity </w:t>
      </w:r>
      <m:oMath>
        <m:r>
          <w:rPr>
            <w:rFonts w:ascii="Cambria Math" w:hAnsi="Cambria Math"/>
          </w:rPr>
          <m:t>i</m:t>
        </m:r>
      </m:oMath>
      <w:r>
        <w:t xml:space="preserve"> and </w:t>
      </w:r>
      <m:oMath>
        <m:sSub>
          <m:sSubPr>
            <m:ctrlPr>
              <w:rPr>
                <w:rFonts w:ascii="Cambria Math" w:hAnsi="Cambria Math"/>
              </w:rPr>
            </m:ctrlPr>
          </m:sSubPr>
          <m:e>
            <m:r>
              <w:rPr>
                <w:rFonts w:ascii="Cambria Math" w:hAnsi="Cambria Math"/>
              </w:rPr>
              <m:t>x</m:t>
            </m:r>
          </m:e>
          <m:sub>
            <m:r>
              <w:rPr>
                <w:rFonts w:ascii="Cambria Math" w:hAnsi="Cambria Math"/>
              </w:rPr>
              <m:t>j</m:t>
            </m:r>
          </m:sub>
        </m:sSub>
      </m:oMath>
      <w:r>
        <w:t xml:space="preserve"> is the total production of the industry </w:t>
      </w:r>
      <m:oMath>
        <m:r>
          <w:rPr>
            <w:rFonts w:ascii="Cambria Math" w:hAnsi="Cambria Math"/>
          </w:rPr>
          <m:t>j</m:t>
        </m:r>
      </m:oMath>
      <w:r>
        <w:t xml:space="preserve">. Thus, the matrix above shows the inputs directly requested from other industries by the </w:t>
      </w:r>
      <m:oMath>
        <m:r>
          <w:rPr>
            <w:rFonts w:ascii="Cambria Math" w:hAnsi="Cambria Math"/>
          </w:rPr>
          <m:t>j</m:t>
        </m:r>
      </m:oMath>
      <w:r>
        <w:t xml:space="preserve"> sector in its production process. In terms of calculation and implementation, if </w:t>
      </w:r>
      <m:oMath>
        <m:sSub>
          <m:sSubPr>
            <m:ctrlPr>
              <w:rPr>
                <w:rFonts w:ascii="Cambria Math" w:hAnsi="Cambria Math"/>
              </w:rPr>
            </m:ctrlPr>
          </m:sSubPr>
          <m:e>
            <m:r>
              <w:rPr>
                <w:rFonts w:ascii="Cambria Math" w:hAnsi="Cambria Math"/>
              </w:rPr>
              <m:t>x</m:t>
            </m:r>
          </m:e>
          <m:sub>
            <m:r>
              <w:rPr>
                <w:rFonts w:ascii="Cambria Math" w:hAnsi="Cambria Math"/>
              </w:rPr>
              <m:t>j</m:t>
            </m:r>
          </m:sub>
        </m:sSub>
      </m:oMath>
      <w:r>
        <w:t xml:space="preserve"> is 0, </w:t>
      </w:r>
      <m:oMath>
        <m:sSub>
          <m:sSubPr>
            <m:ctrlPr>
              <w:rPr>
                <w:rFonts w:ascii="Cambria Math" w:hAnsi="Cambria Math"/>
              </w:rPr>
            </m:ctrlPr>
          </m:sSubPr>
          <m:e>
            <m:r>
              <w:rPr>
                <w:rFonts w:ascii="Cambria Math" w:hAnsi="Cambria Math"/>
              </w:rPr>
              <m:t>a</m:t>
            </m:r>
          </m:e>
          <m:sub>
            <m:r>
              <w:rPr>
                <w:rFonts w:ascii="Cambria Math" w:hAnsi="Cambria Math"/>
              </w:rPr>
              <m:t>ij</m:t>
            </m:r>
          </m:sub>
        </m:sSub>
      </m:oMath>
      <w:r>
        <w:t xml:space="preserve"> will also be 0.</w:t>
      </w:r>
    </w:p>
    <w:p w14:paraId="5E033019" w14:textId="77777777" w:rsidR="00CF15BB" w:rsidRPr="002252AD" w:rsidRDefault="00CF15BB" w:rsidP="00CF15BB">
      <w:pPr>
        <w:pStyle w:val="Corpodetexto"/>
      </w:pPr>
      <w:r>
        <w:t>This leads to the well-known inverse Leontief matrix equation:</w:t>
      </w:r>
    </w:p>
    <w:p w14:paraId="3B592AA4" w14:textId="77777777" w:rsidR="00CF15BB" w:rsidRPr="002252AD" w:rsidRDefault="00CF15BB" w:rsidP="00CF15BB">
      <w:pPr>
        <w:pStyle w:val="Corpodetexto"/>
      </w:pPr>
    </w:p>
    <w:p w14:paraId="66C59D35" w14:textId="77777777" w:rsidR="00CF15BB" w:rsidRPr="002F434D" w:rsidRDefault="00000000" w:rsidP="00CF15BB">
      <w:pPr>
        <w:pStyle w:val="Corpodetexto"/>
        <w:rPr>
          <w:rFonts w:eastAsiaTheme="minorEastAsia"/>
        </w:rPr>
      </w:pPr>
      <m:oMathPara>
        <m:oMath>
          <m:eqArr>
            <m:eqArrPr>
              <m:maxDist m:val="1"/>
              <m:ctrlPr>
                <w:rPr>
                  <w:rFonts w:ascii="Cambria Math" w:hAnsi="Cambria Math"/>
                  <w:sz w:val="20"/>
                </w:rPr>
              </m:ctrlPr>
            </m:eqArrPr>
            <m:e>
              <m:sSub>
                <m:sSubPr>
                  <m:ctrlPr>
                    <w:rPr>
                      <w:rFonts w:ascii="Cambria Math" w:hAnsi="Cambria Math"/>
                      <w:sz w:val="20"/>
                    </w:rPr>
                  </m:ctrlPr>
                </m:sSubPr>
                <m:e>
                  <m:r>
                    <m:rPr>
                      <m:sty m:val="bi"/>
                    </m:rPr>
                    <w:rPr>
                      <w:rFonts w:ascii="Cambria Math" w:hAnsi="Cambria Math"/>
                      <w:sz w:val="20"/>
                    </w:rPr>
                    <m:t>x</m:t>
                  </m:r>
                </m:e>
                <m:sub>
                  <m:r>
                    <w:rPr>
                      <w:rFonts w:ascii="Cambria Math" w:hAnsi="Cambria Math"/>
                      <w:sz w:val="20"/>
                    </w:rPr>
                    <m:t>n</m:t>
                  </m:r>
                  <m:r>
                    <m:rPr>
                      <m:sty m:val="p"/>
                    </m:rPr>
                    <w:rPr>
                      <w:rFonts w:ascii="Cambria Math" w:hAnsi="Cambria Math"/>
                      <w:sz w:val="20"/>
                    </w:rPr>
                    <m:t>×1</m:t>
                  </m:r>
                </m:sub>
              </m:sSub>
              <m:r>
                <m:rPr>
                  <m:sty m:val="p"/>
                </m:rPr>
                <w:rPr>
                  <w:rFonts w:ascii="Cambria Math" w:hAnsi="Cambria Math"/>
                  <w:sz w:val="20"/>
                </w:rPr>
                <m:t>=</m:t>
              </m:r>
              <m:sSubSup>
                <m:sSubSupPr>
                  <m:ctrlPr>
                    <w:rPr>
                      <w:rFonts w:ascii="Cambria Math" w:hAnsi="Cambria Math"/>
                      <w:sz w:val="20"/>
                    </w:rPr>
                  </m:ctrlPr>
                </m:sSubSupPr>
                <m:e>
                  <m:d>
                    <m:dPr>
                      <m:ctrlPr>
                        <w:rPr>
                          <w:rFonts w:ascii="Cambria Math" w:hAnsi="Cambria Math"/>
                          <w:sz w:val="20"/>
                        </w:rPr>
                      </m:ctrlPr>
                    </m:dPr>
                    <m:e>
                      <m:r>
                        <m:rPr>
                          <m:sty m:val="bi"/>
                        </m:rPr>
                        <w:rPr>
                          <w:rFonts w:ascii="Cambria Math" w:hAnsi="Cambria Math"/>
                          <w:sz w:val="20"/>
                        </w:rPr>
                        <m:t>I</m:t>
                      </m:r>
                      <m:r>
                        <m:rPr>
                          <m:sty m:val="p"/>
                        </m:rPr>
                        <w:rPr>
                          <w:rFonts w:ascii="Cambria Math" w:hAnsi="Cambria Math"/>
                          <w:sz w:val="20"/>
                        </w:rPr>
                        <m:t>-</m:t>
                      </m:r>
                      <m:r>
                        <m:rPr>
                          <m:sty m:val="bi"/>
                        </m:rPr>
                        <w:rPr>
                          <w:rFonts w:ascii="Cambria Math" w:hAnsi="Cambria Math"/>
                          <w:sz w:val="20"/>
                        </w:rPr>
                        <m:t>A</m:t>
                      </m:r>
                    </m:e>
                  </m:d>
                </m:e>
                <m:sub>
                  <m:r>
                    <w:rPr>
                      <w:rFonts w:ascii="Cambria Math" w:hAnsi="Cambria Math"/>
                      <w:sz w:val="20"/>
                    </w:rPr>
                    <m:t>n</m:t>
                  </m:r>
                  <m:r>
                    <m:rPr>
                      <m:sty m:val="p"/>
                    </m:rPr>
                    <w:rPr>
                      <w:rFonts w:ascii="Cambria Math" w:hAnsi="Cambria Math"/>
                      <w:sz w:val="20"/>
                    </w:rPr>
                    <m:t>×</m:t>
                  </m:r>
                  <m:r>
                    <w:rPr>
                      <w:rFonts w:ascii="Cambria Math" w:hAnsi="Cambria Math"/>
                      <w:sz w:val="20"/>
                    </w:rPr>
                    <m:t>n</m:t>
                  </m:r>
                </m:sub>
                <m:sup>
                  <m:r>
                    <m:rPr>
                      <m:sty m:val="p"/>
                    </m:rPr>
                    <w:rPr>
                      <w:rFonts w:ascii="Cambria Math" w:hAnsi="Cambria Math"/>
                      <w:sz w:val="20"/>
                    </w:rPr>
                    <m:t>-1</m:t>
                  </m:r>
                </m:sup>
              </m:sSubSup>
              <m:r>
                <m:rPr>
                  <m:sty m:val="p"/>
                </m:rPr>
                <w:rPr>
                  <w:rFonts w:ascii="Cambria Math" w:hAnsi="Cambria Math"/>
                  <w:sz w:val="20"/>
                </w:rPr>
                <m:t>∙</m:t>
              </m:r>
              <m:sSub>
                <m:sSubPr>
                  <m:ctrlPr>
                    <w:rPr>
                      <w:rFonts w:ascii="Cambria Math" w:hAnsi="Cambria Math"/>
                      <w:sz w:val="20"/>
                    </w:rPr>
                  </m:ctrlPr>
                </m:sSubPr>
                <m:e>
                  <m:r>
                    <m:rPr>
                      <m:sty m:val="bi"/>
                    </m:rPr>
                    <w:rPr>
                      <w:rFonts w:ascii="Cambria Math" w:hAnsi="Cambria Math"/>
                      <w:sz w:val="20"/>
                    </w:rPr>
                    <m:t>y</m:t>
                  </m:r>
                </m:e>
                <m:sub>
                  <m:r>
                    <w:rPr>
                      <w:rFonts w:ascii="Cambria Math" w:hAnsi="Cambria Math"/>
                      <w:sz w:val="20"/>
                    </w:rPr>
                    <m:t>n</m:t>
                  </m:r>
                  <m:r>
                    <m:rPr>
                      <m:sty m:val="p"/>
                    </m:rPr>
                    <w:rPr>
                      <w:rFonts w:ascii="Cambria Math" w:hAnsi="Cambria Math"/>
                      <w:sz w:val="20"/>
                    </w:rPr>
                    <m:t>×1</m:t>
                  </m:r>
                </m:sub>
              </m:sSub>
              <m:r>
                <w:rPr>
                  <w:rFonts w:ascii="Cambria Math" w:hAnsi="Cambria Math"/>
                  <w:sz w:val="20"/>
                </w:rPr>
                <m:t xml:space="preserve">= </m:t>
              </m:r>
              <m:sSub>
                <m:sSubPr>
                  <m:ctrlPr>
                    <w:rPr>
                      <w:rFonts w:ascii="Cambria Math" w:hAnsi="Cambria Math"/>
                      <w:sz w:val="20"/>
                    </w:rPr>
                  </m:ctrlPr>
                </m:sSubPr>
                <m:e>
                  <m:r>
                    <m:rPr>
                      <m:sty m:val="bi"/>
                    </m:rPr>
                    <w:rPr>
                      <w:rFonts w:ascii="Cambria Math" w:hAnsi="Cambria Math"/>
                      <w:sz w:val="20"/>
                    </w:rPr>
                    <m:t>B</m:t>
                  </m:r>
                </m:e>
                <m:sub>
                  <m:r>
                    <w:rPr>
                      <w:rFonts w:ascii="Cambria Math" w:hAnsi="Cambria Math"/>
                      <w:sz w:val="20"/>
                    </w:rPr>
                    <m:t>n</m:t>
                  </m:r>
                  <m:r>
                    <m:rPr>
                      <m:sty m:val="p"/>
                    </m:rPr>
                    <w:rPr>
                      <w:rFonts w:ascii="Cambria Math" w:hAnsi="Cambria Math"/>
                      <w:sz w:val="20"/>
                    </w:rPr>
                    <m:t>×n</m:t>
                  </m:r>
                </m:sub>
              </m:sSub>
              <m:r>
                <m:rPr>
                  <m:sty m:val="p"/>
                </m:rPr>
                <w:rPr>
                  <w:rFonts w:ascii="Cambria Math" w:hAnsi="Cambria Math"/>
                  <w:sz w:val="20"/>
                </w:rPr>
                <m:t>∙</m:t>
              </m:r>
              <m:sSub>
                <m:sSubPr>
                  <m:ctrlPr>
                    <w:rPr>
                      <w:rFonts w:ascii="Cambria Math" w:hAnsi="Cambria Math"/>
                      <w:sz w:val="20"/>
                    </w:rPr>
                  </m:ctrlPr>
                </m:sSubPr>
                <m:e>
                  <m:r>
                    <m:rPr>
                      <m:sty m:val="bi"/>
                    </m:rPr>
                    <w:rPr>
                      <w:rFonts w:ascii="Cambria Math" w:hAnsi="Cambria Math"/>
                      <w:sz w:val="20"/>
                    </w:rPr>
                    <m:t>y</m:t>
                  </m:r>
                </m:e>
                <m:sub>
                  <m:r>
                    <w:rPr>
                      <w:rFonts w:ascii="Cambria Math" w:hAnsi="Cambria Math"/>
                      <w:sz w:val="20"/>
                    </w:rPr>
                    <m:t>n</m:t>
                  </m:r>
                  <m:r>
                    <m:rPr>
                      <m:sty m:val="p"/>
                    </m:rPr>
                    <w:rPr>
                      <w:rFonts w:ascii="Cambria Math" w:hAnsi="Cambria Math"/>
                      <w:sz w:val="20"/>
                    </w:rPr>
                    <m:t>×1</m:t>
                  </m:r>
                </m:sub>
              </m:sSub>
              <m:r>
                <m:rPr>
                  <m:sty m:val="p"/>
                </m:rPr>
                <w:rPr>
                  <w:rFonts w:ascii="Cambria Math" w:hAnsi="Cambria Math"/>
                  <w:sz w:val="20"/>
                </w:rPr>
                <m:t>,#</m:t>
              </m:r>
              <m:d>
                <m:dPr>
                  <m:ctrlPr>
                    <w:rPr>
                      <w:rFonts w:ascii="Cambria Math" w:hAnsi="Cambria Math"/>
                      <w:sz w:val="20"/>
                    </w:rPr>
                  </m:ctrlPr>
                </m:dPr>
                <m:e>
                  <m:r>
                    <m:rPr>
                      <m:sty m:val="p"/>
                    </m:rPr>
                    <w:rPr>
                      <w:rFonts w:ascii="Cambria Math" w:hAnsi="Cambria Math"/>
                      <w:sz w:val="20"/>
                    </w:rPr>
                    <m:t>2</m:t>
                  </m:r>
                </m:e>
              </m:d>
            </m:e>
          </m:eqArr>
        </m:oMath>
      </m:oMathPara>
    </w:p>
    <w:p w14:paraId="462CECF8" w14:textId="77777777" w:rsidR="00CF15BB" w:rsidRPr="00D21BB5" w:rsidRDefault="00CF15BB" w:rsidP="00CF15BB">
      <w:pPr>
        <w:pStyle w:val="Corpodetexto"/>
      </w:pPr>
    </w:p>
    <w:p w14:paraId="448BC374" w14:textId="42EB2E63" w:rsidR="00CF15BB" w:rsidRPr="002252AD" w:rsidRDefault="00CF15BB" w:rsidP="00CF15BB">
      <w:pPr>
        <w:pStyle w:val="Corpodetexto"/>
        <w:ind w:firstLine="0"/>
      </w:pPr>
      <w:r>
        <w:t xml:space="preserve">where </w:t>
      </w:r>
      <m:oMath>
        <m:sSub>
          <m:sSubPr>
            <m:ctrlPr>
              <w:rPr>
                <w:rFonts w:ascii="Cambria Math" w:hAnsi="Cambria Math"/>
              </w:rPr>
            </m:ctrlPr>
          </m:sSubPr>
          <m:e>
            <m:r>
              <m:rPr>
                <m:sty m:val="b"/>
              </m:rPr>
              <w:rPr>
                <w:rFonts w:ascii="Cambria Math" w:hAnsi="Cambria Math"/>
              </w:rPr>
              <m:t>x</m:t>
            </m:r>
          </m:e>
          <m:sub>
            <m:r>
              <w:rPr>
                <w:rFonts w:ascii="Cambria Math" w:hAnsi="Cambria Math"/>
              </w:rPr>
              <m:t>n</m:t>
            </m:r>
            <m:r>
              <m:rPr>
                <m:sty m:val="p"/>
              </m:rPr>
              <w:rPr>
                <w:rFonts w:ascii="Cambria Math" w:hAnsi="Cambria Math"/>
              </w:rPr>
              <m:t>×</m:t>
            </m:r>
            <m:r>
              <w:rPr>
                <w:rFonts w:ascii="Cambria Math" w:hAnsi="Cambria Math"/>
              </w:rPr>
              <m:t>1</m:t>
            </m:r>
          </m:sub>
        </m:sSub>
      </m:oMath>
      <w:r>
        <w:t xml:space="preserve"> is the sectoral production vector, </w:t>
      </w:r>
      <m:oMath>
        <m:sSub>
          <m:sSubPr>
            <m:ctrlPr>
              <w:rPr>
                <w:rFonts w:ascii="Cambria Math" w:hAnsi="Cambria Math"/>
              </w:rPr>
            </m:ctrlPr>
          </m:sSubPr>
          <m:e>
            <m:r>
              <m:rPr>
                <m:sty m:val="b"/>
              </m:rPr>
              <w:rPr>
                <w:rFonts w:ascii="Cambria Math" w:hAnsi="Cambria Math"/>
              </w:rPr>
              <m:t>I</m:t>
            </m:r>
          </m:e>
          <m:sub>
            <m:r>
              <w:rPr>
                <w:rFonts w:ascii="Cambria Math" w:hAnsi="Cambria Math"/>
              </w:rPr>
              <m:t>n</m:t>
            </m:r>
            <m:r>
              <m:rPr>
                <m:sty m:val="p"/>
              </m:rPr>
              <w:rPr>
                <w:rFonts w:ascii="Cambria Math" w:hAnsi="Cambria Math"/>
              </w:rPr>
              <m:t>×</m:t>
            </m:r>
            <m:r>
              <w:rPr>
                <w:rFonts w:ascii="Cambria Math" w:hAnsi="Cambria Math"/>
              </w:rPr>
              <m:t>n</m:t>
            </m:r>
          </m:sub>
        </m:sSub>
      </m:oMath>
      <w:r>
        <w:t xml:space="preserve"> is the </w:t>
      </w:r>
      <m:oMath>
        <m:r>
          <w:rPr>
            <w:rFonts w:ascii="Cambria Math" w:hAnsi="Cambria Math"/>
          </w:rPr>
          <m:t>n</m:t>
        </m:r>
      </m:oMath>
      <w:r>
        <w:t xml:space="preserve"> order identity matrix and </w:t>
      </w:r>
      <m:oMath>
        <m:sSub>
          <m:sSubPr>
            <m:ctrlPr>
              <w:rPr>
                <w:rFonts w:ascii="Cambria Math" w:hAnsi="Cambria Math"/>
              </w:rPr>
            </m:ctrlPr>
          </m:sSubPr>
          <m:e>
            <m:r>
              <m:rPr>
                <m:sty m:val="b"/>
              </m:rPr>
              <w:rPr>
                <w:rFonts w:ascii="Cambria Math" w:hAnsi="Cambria Math"/>
              </w:rPr>
              <m:t>y</m:t>
            </m:r>
          </m:e>
          <m:sub>
            <m:r>
              <w:rPr>
                <w:rFonts w:ascii="Cambria Math" w:hAnsi="Cambria Math"/>
              </w:rPr>
              <m:t>n</m:t>
            </m:r>
            <m:r>
              <m:rPr>
                <m:sty m:val="p"/>
              </m:rPr>
              <w:rPr>
                <w:rFonts w:ascii="Cambria Math" w:hAnsi="Cambria Math"/>
              </w:rPr>
              <m:t>×</m:t>
            </m:r>
            <m:r>
              <w:rPr>
                <w:rFonts w:ascii="Cambria Math" w:hAnsi="Cambria Math"/>
              </w:rPr>
              <m:t>1</m:t>
            </m:r>
          </m:sub>
        </m:sSub>
      </m:oMath>
      <w:r>
        <w:t xml:space="preserve"> is a vector containing the sum of all final demand components per sector. This equation allows us to determine, given exogenous demand shocks, how production will vary in the short </w:t>
      </w:r>
      <w:r w:rsidR="00A87B6A">
        <w:t>term</w:t>
      </w:r>
      <w:r>
        <w:t xml:space="preserve">, considering both direct and indirect intermediate consumption in the productive sectors. </w:t>
      </w:r>
    </w:p>
    <w:p w14:paraId="40D61F6B" w14:textId="77777777" w:rsidR="00CF15BB" w:rsidRPr="002252AD" w:rsidRDefault="00CF15BB" w:rsidP="00CF15BB">
      <w:pPr>
        <w:pStyle w:val="Corpodetexto"/>
        <w:rPr>
          <w:spacing w:val="-2"/>
        </w:rPr>
      </w:pPr>
      <w:r>
        <w:t>The Leontief model is useful not only for calculating the impact of exogenous shocks to final demand on output in the short run, but also for analyzing a series of indicators based on the IOTs, such as production multipliers (</w:t>
      </w:r>
      <m:oMath>
        <m:sSubSup>
          <m:sSubSupPr>
            <m:ctrlPr>
              <w:rPr>
                <w:rFonts w:ascii="Cambria Math" w:hAnsi="Cambria Math"/>
                <w:spacing w:val="-2"/>
              </w:rPr>
            </m:ctrlPr>
          </m:sSubSupPr>
          <m:e>
            <m:r>
              <w:rPr>
                <w:rFonts w:ascii="Cambria Math" w:hAnsi="Cambria Math"/>
                <w:spacing w:val="-2"/>
              </w:rPr>
              <m:t>M</m:t>
            </m:r>
          </m:e>
          <m:sub>
            <m:r>
              <w:rPr>
                <w:rFonts w:ascii="Cambria Math" w:hAnsi="Cambria Math"/>
                <w:spacing w:val="-2"/>
              </w:rPr>
              <m:t>j</m:t>
            </m:r>
          </m:sub>
          <m:sup>
            <m:r>
              <w:rPr>
                <w:rFonts w:ascii="Cambria Math" w:hAnsi="Cambria Math"/>
                <w:spacing w:val="-2"/>
              </w:rPr>
              <m:t>prod</m:t>
            </m:r>
          </m:sup>
        </m:sSubSup>
      </m:oMath>
      <w:r>
        <w:t xml:space="preserve">). </w:t>
      </w:r>
    </w:p>
    <w:p w14:paraId="71802362" w14:textId="16C0EC20" w:rsidR="00CF15BB" w:rsidRPr="002252AD" w:rsidRDefault="00CF15BB" w:rsidP="00CF15BB">
      <w:pPr>
        <w:pStyle w:val="Corpodetexto"/>
      </w:pPr>
      <w:r>
        <w:t xml:space="preserve">These </w:t>
      </w:r>
      <w:r w:rsidR="004539EE">
        <w:t>indexes</w:t>
      </w:r>
      <w:r>
        <w:t xml:space="preserve"> measure the effect of increasing the final demand of the </w:t>
      </w:r>
      <m:oMath>
        <m:r>
          <w:rPr>
            <w:rFonts w:ascii="Cambria Math" w:hAnsi="Cambria Math"/>
          </w:rPr>
          <m:t>j</m:t>
        </m:r>
      </m:oMath>
      <w:r>
        <w:t xml:space="preserve"> sector on the production of all economic sectors, considering both its direct and indirect effects. Therefore, production multipliers are calculated from the sum of the rows in each column of the </w:t>
      </w:r>
      <m:oMath>
        <m:r>
          <m:rPr>
            <m:sty m:val="b"/>
          </m:rPr>
          <w:rPr>
            <w:rFonts w:ascii="Cambria Math" w:hAnsi="Cambria Math"/>
          </w:rPr>
          <m:t>B</m:t>
        </m:r>
      </m:oMath>
      <w:r>
        <w:t xml:space="preserve"> matrix, considering the direct and indirect impacts of demand expansion on output:</w:t>
      </w:r>
    </w:p>
    <w:p w14:paraId="5BDA6CCC" w14:textId="77777777" w:rsidR="00CF15BB" w:rsidRPr="002252AD" w:rsidRDefault="00CF15BB" w:rsidP="00CF15BB">
      <w:pPr>
        <w:pStyle w:val="Corpodetexto"/>
      </w:pPr>
    </w:p>
    <w:p w14:paraId="658CB43C" w14:textId="77777777" w:rsidR="00CF15BB" w:rsidRPr="001F7164" w:rsidRDefault="00000000" w:rsidP="00CF15BB">
      <w:pPr>
        <w:pStyle w:val="Corpodetexto"/>
        <w:rPr>
          <w:sz w:val="20"/>
        </w:rPr>
      </w:pPr>
      <m:oMathPara>
        <m:oMath>
          <m:eqArr>
            <m:eqArrPr>
              <m:maxDist m:val="1"/>
              <m:ctrlPr>
                <w:rPr>
                  <w:rFonts w:ascii="Cambria Math" w:hAnsi="Cambria Math"/>
                  <w:sz w:val="20"/>
                </w:rPr>
              </m:ctrlPr>
            </m:eqArrPr>
            <m:e>
              <m:sSubSup>
                <m:sSubSupPr>
                  <m:ctrlPr>
                    <w:rPr>
                      <w:rFonts w:ascii="Cambria Math" w:hAnsi="Cambria Math"/>
                      <w:sz w:val="20"/>
                    </w:rPr>
                  </m:ctrlPr>
                </m:sSubSupPr>
                <m:e>
                  <m:r>
                    <w:rPr>
                      <w:rFonts w:ascii="Cambria Math" w:hAnsi="Cambria Math"/>
                      <w:sz w:val="20"/>
                    </w:rPr>
                    <m:t>M</m:t>
                  </m:r>
                </m:e>
                <m:sub>
                  <m:r>
                    <w:rPr>
                      <w:rFonts w:ascii="Cambria Math" w:hAnsi="Cambria Math"/>
                      <w:sz w:val="20"/>
                    </w:rPr>
                    <m:t>j</m:t>
                  </m:r>
                </m:sub>
                <m:sup>
                  <m:r>
                    <w:rPr>
                      <w:rFonts w:ascii="Cambria Math" w:hAnsi="Cambria Math"/>
                      <w:sz w:val="20"/>
                    </w:rPr>
                    <m:t>prod</m:t>
                  </m:r>
                </m:sup>
              </m:sSubSup>
              <m:r>
                <m:rPr>
                  <m:sty m:val="p"/>
                </m:rPr>
                <w:rPr>
                  <w:rFonts w:ascii="Cambria Math" w:hAnsi="Cambria Math"/>
                  <w:sz w:val="20"/>
                </w:rPr>
                <m:t>=</m:t>
              </m:r>
              <m:nary>
                <m:naryPr>
                  <m:chr m:val="∑"/>
                  <m:limLoc m:val="undOvr"/>
                  <m:ctrlPr>
                    <w:rPr>
                      <w:rFonts w:ascii="Cambria Math" w:hAnsi="Cambria Math"/>
                      <w:sz w:val="20"/>
                    </w:rPr>
                  </m:ctrlPr>
                </m:naryPr>
                <m:sub>
                  <m:r>
                    <w:rPr>
                      <w:rFonts w:ascii="Cambria Math" w:hAnsi="Cambria Math"/>
                      <w:sz w:val="20"/>
                    </w:rPr>
                    <m:t>i</m:t>
                  </m:r>
                  <m:r>
                    <m:rPr>
                      <m:sty m:val="p"/>
                    </m:rPr>
                    <w:rPr>
                      <w:rFonts w:ascii="Cambria Math" w:hAnsi="Cambria Math"/>
                      <w:sz w:val="20"/>
                    </w:rPr>
                    <m:t>=1</m:t>
                  </m:r>
                </m:sub>
                <m:sup>
                  <m:r>
                    <w:rPr>
                      <w:rFonts w:ascii="Cambria Math" w:hAnsi="Cambria Math"/>
                      <w:sz w:val="20"/>
                    </w:rPr>
                    <m:t>n</m:t>
                  </m:r>
                </m:sup>
                <m:e>
                  <m:sSub>
                    <m:sSubPr>
                      <m:ctrlPr>
                        <w:rPr>
                          <w:rFonts w:ascii="Cambria Math" w:hAnsi="Cambria Math"/>
                          <w:sz w:val="20"/>
                        </w:rPr>
                      </m:ctrlPr>
                    </m:sSubPr>
                    <m:e>
                      <m:r>
                        <w:rPr>
                          <w:rFonts w:ascii="Cambria Math" w:hAnsi="Cambria Math"/>
                          <w:sz w:val="20"/>
                        </w:rPr>
                        <m:t>b</m:t>
                      </m:r>
                    </m:e>
                    <m:sub>
                      <m:r>
                        <w:rPr>
                          <w:rFonts w:ascii="Cambria Math" w:hAnsi="Cambria Math"/>
                          <w:sz w:val="20"/>
                        </w:rPr>
                        <m:t>ij</m:t>
                      </m:r>
                    </m:sub>
                  </m:sSub>
                </m:e>
              </m:nary>
              <m:r>
                <m:rPr>
                  <m:sty m:val="p"/>
                </m:rPr>
                <w:rPr>
                  <w:rFonts w:ascii="Cambria Math" w:hAnsi="Cambria Math"/>
                  <w:sz w:val="20"/>
                </w:rPr>
                <m:t>#</m:t>
              </m:r>
              <m:d>
                <m:dPr>
                  <m:ctrlPr>
                    <w:rPr>
                      <w:rFonts w:ascii="Cambria Math" w:hAnsi="Cambria Math"/>
                      <w:sz w:val="20"/>
                    </w:rPr>
                  </m:ctrlPr>
                </m:dPr>
                <m:e>
                  <m:r>
                    <m:rPr>
                      <m:sty m:val="p"/>
                    </m:rPr>
                    <w:rPr>
                      <w:rFonts w:ascii="Cambria Math" w:hAnsi="Cambria Math"/>
                      <w:sz w:val="20"/>
                    </w:rPr>
                    <m:t>3</m:t>
                  </m:r>
                </m:e>
              </m:d>
            </m:e>
          </m:eqArr>
        </m:oMath>
      </m:oMathPara>
    </w:p>
    <w:p w14:paraId="682B3E98" w14:textId="77777777" w:rsidR="001F7164" w:rsidRPr="002F434D" w:rsidRDefault="001F7164" w:rsidP="00CF15BB">
      <w:pPr>
        <w:pStyle w:val="Corpodetexto"/>
      </w:pPr>
    </w:p>
    <w:p w14:paraId="58575264" w14:textId="6B316CA3" w:rsidR="001F7164" w:rsidRPr="001F7164" w:rsidRDefault="001F7164" w:rsidP="001F7164">
      <w:pPr>
        <w:tabs>
          <w:tab w:val="center" w:pos="4800"/>
          <w:tab w:val="right" w:pos="9500"/>
        </w:tabs>
        <w:spacing w:after="0" w:line="260" w:lineRule="atLeast"/>
        <w:outlineLvl w:val="2"/>
        <w:rPr>
          <w:rFonts w:ascii="Tahoma" w:hAnsi="Tahoma" w:cs="Tahoma"/>
          <w:b/>
        </w:rPr>
      </w:pPr>
      <w:r>
        <w:rPr>
          <w:rFonts w:ascii="Tahoma" w:hAnsi="Tahoma"/>
          <w:b/>
        </w:rPr>
        <w:t xml:space="preserve">3.1.2. Linkage </w:t>
      </w:r>
      <w:r w:rsidR="004539EE">
        <w:rPr>
          <w:rFonts w:ascii="Tahoma" w:hAnsi="Tahoma"/>
          <w:b/>
        </w:rPr>
        <w:t>Indexes</w:t>
      </w:r>
      <w:r>
        <w:rPr>
          <w:rFonts w:ascii="Tahoma" w:hAnsi="Tahoma"/>
          <w:b/>
        </w:rPr>
        <w:t xml:space="preserve"> and </w:t>
      </w:r>
      <w:r w:rsidR="00B63D84">
        <w:rPr>
          <w:rFonts w:ascii="Tahoma" w:hAnsi="Tahoma"/>
          <w:b/>
        </w:rPr>
        <w:t>Coefficients</w:t>
      </w:r>
      <w:r>
        <w:rPr>
          <w:rFonts w:ascii="Tahoma" w:hAnsi="Tahoma"/>
          <w:b/>
        </w:rPr>
        <w:t xml:space="preserve"> of Variation</w:t>
      </w:r>
    </w:p>
    <w:p w14:paraId="2900A45D" w14:textId="77777777" w:rsidR="001F7164" w:rsidRPr="001F7164" w:rsidRDefault="001F7164" w:rsidP="001F7164">
      <w:pPr>
        <w:spacing w:after="0" w:line="240" w:lineRule="auto"/>
        <w:rPr>
          <w:rFonts w:ascii="Times New Roman" w:eastAsia="Times New Roman" w:hAnsi="Times New Roman"/>
          <w:lang w:eastAsia="pt-BR"/>
        </w:rPr>
      </w:pPr>
    </w:p>
    <w:p w14:paraId="18AE5C0E" w14:textId="3F6D8222" w:rsidR="001F7164" w:rsidRPr="001F7164" w:rsidRDefault="001F7164" w:rsidP="001F7164">
      <w:pPr>
        <w:autoSpaceDE w:val="0"/>
        <w:autoSpaceDN w:val="0"/>
        <w:adjustRightInd w:val="0"/>
        <w:spacing w:before="60" w:after="60" w:line="240" w:lineRule="auto"/>
        <w:ind w:firstLine="567"/>
        <w:jc w:val="both"/>
        <w:textAlignment w:val="center"/>
        <w:rPr>
          <w:rFonts w:ascii="Times New Roman" w:hAnsi="Times New Roman" w:cs="Baramond"/>
          <w:color w:val="000000"/>
        </w:rPr>
      </w:pPr>
      <w:r>
        <w:rPr>
          <w:rFonts w:ascii="Times New Roman" w:hAnsi="Times New Roman"/>
          <w:color w:val="000000"/>
        </w:rPr>
        <w:t>In addition to the impact analysis of the demand of the electricity sector, it is also interesting to analyze its structural relations with other economic activities.</w:t>
      </w:r>
      <w:r w:rsidR="004B1AA0">
        <w:rPr>
          <w:rFonts w:ascii="Times New Roman" w:hAnsi="Times New Roman"/>
          <w:color w:val="000000"/>
        </w:rPr>
        <w:t xml:space="preserve"> T</w:t>
      </w:r>
      <w:r>
        <w:rPr>
          <w:rFonts w:ascii="Times New Roman" w:hAnsi="Times New Roman"/>
          <w:color w:val="000000"/>
        </w:rPr>
        <w:t xml:space="preserve">he Rasmussen-Hirschman linkage </w:t>
      </w:r>
      <w:r w:rsidR="004539EE">
        <w:rPr>
          <w:rFonts w:ascii="Times New Roman" w:hAnsi="Times New Roman"/>
          <w:color w:val="000000"/>
        </w:rPr>
        <w:t>indexes</w:t>
      </w:r>
      <w:r>
        <w:rPr>
          <w:rFonts w:ascii="Times New Roman" w:hAnsi="Times New Roman"/>
          <w:color w:val="000000"/>
        </w:rPr>
        <w:t xml:space="preserve"> </w:t>
      </w:r>
      <w:r w:rsidRPr="001F7164">
        <w:rPr>
          <w:rFonts w:ascii="Times New Roman" w:hAnsi="Times New Roman" w:cs="Baramond"/>
          <w:color w:val="000000"/>
        </w:rPr>
        <w:fldChar w:fldCharType="begin"/>
      </w:r>
      <w:r w:rsidRPr="001F7164">
        <w:rPr>
          <w:rFonts w:ascii="Times New Roman" w:hAnsi="Times New Roman" w:cs="Baramond"/>
          <w:color w:val="000000"/>
        </w:rPr>
        <w:instrText xml:space="preserve"> ADDIN ZOTERO_ITEM CSL_CITATION {"citationID":"w4RXE1Vp","properties":{"formattedCitation":"(RASMUSSEN, 1957)","plainCitation":"(RASMUSSEN, 1957)","dontUpdate":true,"noteIndex":0},"citationItems":[{"id":69,"uris":["http://zotero.org/users/8767809/items/RKPUXWA4",["http://zotero.org/users/8767809/items/RKPUXWA4"]],"itemData":{"id":69,"type":"thesis","event-place":"Amsterdam; Einar Harcks","language":"English","note":"OCLC: 491563373","number-of-pages":"217","publisher":"North-Holland","publisher-place":"Amsterdam; Einar Harcks","source":"Open WorldCat","title":"Studies in Inter-Sectoral Relations","author":[{"family":"Rasmussen","given":"P.N."}],"issued":{"date-parts":[["1957"]]}}}],"schema":"https://github.com/citation-style-language/schema/raw/master/csl-citation.json"} </w:instrText>
      </w:r>
      <w:r w:rsidRPr="001F7164">
        <w:rPr>
          <w:rFonts w:ascii="Times New Roman" w:hAnsi="Times New Roman" w:cs="Baramond"/>
          <w:color w:val="000000"/>
        </w:rPr>
        <w:fldChar w:fldCharType="separate"/>
      </w:r>
      <w:r w:rsidRPr="001F7164">
        <w:rPr>
          <w:rFonts w:ascii="Times New Roman" w:hAnsi="Times New Roman" w:cs="Baramond"/>
          <w:color w:val="000000"/>
        </w:rPr>
        <w:t>(</w:t>
      </w:r>
      <w:r w:rsidR="00B63D84">
        <w:rPr>
          <w:rFonts w:ascii="Times New Roman" w:hAnsi="Times New Roman" w:cs="Baramond"/>
          <w:color w:val="000000"/>
        </w:rPr>
        <w:t>Rasmussen</w:t>
      </w:r>
      <w:r w:rsidRPr="001F7164">
        <w:rPr>
          <w:rFonts w:ascii="Times New Roman" w:hAnsi="Times New Roman" w:cs="Baramond"/>
          <w:color w:val="000000"/>
        </w:rPr>
        <w:t>, 1957;</w:t>
      </w:r>
      <w:r w:rsidRPr="001F7164">
        <w:rPr>
          <w:rFonts w:ascii="Times New Roman" w:hAnsi="Times New Roman" w:cs="Baramond"/>
          <w:color w:val="000000"/>
        </w:rPr>
        <w:fldChar w:fldCharType="end"/>
      </w:r>
      <w:r>
        <w:rPr>
          <w:rFonts w:ascii="Times New Roman" w:hAnsi="Times New Roman"/>
          <w:color w:val="000000"/>
        </w:rPr>
        <w:t xml:space="preserve"> </w:t>
      </w:r>
      <w:r w:rsidRPr="001F7164">
        <w:rPr>
          <w:rFonts w:ascii="Times New Roman" w:hAnsi="Times New Roman" w:cs="Baramond"/>
          <w:color w:val="000000"/>
        </w:rPr>
        <w:fldChar w:fldCharType="begin"/>
      </w:r>
      <w:r w:rsidRPr="001F7164">
        <w:rPr>
          <w:rFonts w:ascii="Times New Roman" w:hAnsi="Times New Roman" w:cs="Baramond"/>
          <w:color w:val="000000"/>
        </w:rPr>
        <w:instrText xml:space="preserve"> ADDIN ZOTERO_ITEM CSL_CITATION {"citationID":"GUO0IISw","properties":{"formattedCitation":"(HIRSCHMAN, 1961)","plainCitation":"(HIRSCHMAN, 1961)","dontUpdate":true,"noteIndex":0},"citationItems":[{"id":49,"uris":["http://zotero.org/users/8767809/items/BHJ5ZUXA",["http://zotero.org/users/8767809/items/BHJ5ZUXA"]],"itemData":{"id":49,"type":"book","abstract":"Mostra uma reflexão acerca dos modelos de gestão e desenvolvimento criados e utilizados pelos governos para alavancar o crescimento econômico e desenvolvimento social das nações subdesenvolvidas.","language":"pt_BR","note":"Accepted: 2018-01-25T19:18:32Z","publisher":"Fundo de Cultura","source":"ria.ufrn.br","title":"Estratégia do desenvolvimento econômico","URL":"https://ria.ufrn.br/jspui/handle/123456789/804","author":[{"family":"Hirschman","given":"Albert Olist"}],"accessed":{"date-parts":[["2021",11,26]]},"issued":{"date-parts":[["1961"]]}}}],"schema":"https://github.com/citation-style-language/schema/raw/master/csl-citation.json"} </w:instrText>
      </w:r>
      <w:r w:rsidRPr="001F7164">
        <w:rPr>
          <w:rFonts w:ascii="Times New Roman" w:hAnsi="Times New Roman" w:cs="Baramond"/>
          <w:color w:val="000000"/>
        </w:rPr>
        <w:fldChar w:fldCharType="separate"/>
      </w:r>
      <w:r w:rsidR="00B63D84">
        <w:rPr>
          <w:rFonts w:ascii="Times New Roman" w:hAnsi="Times New Roman" w:cs="Baramond"/>
          <w:color w:val="000000"/>
        </w:rPr>
        <w:t>Hirschman</w:t>
      </w:r>
      <w:r w:rsidRPr="001F7164">
        <w:rPr>
          <w:rFonts w:ascii="Times New Roman" w:hAnsi="Times New Roman" w:cs="Baramond"/>
          <w:color w:val="000000"/>
        </w:rPr>
        <w:t>, 1961)</w:t>
      </w:r>
      <w:r w:rsidRPr="001F7164">
        <w:rPr>
          <w:rFonts w:ascii="Times New Roman" w:hAnsi="Times New Roman" w:cs="Baramond"/>
          <w:color w:val="000000"/>
        </w:rPr>
        <w:fldChar w:fldCharType="end"/>
      </w:r>
      <w:r>
        <w:rPr>
          <w:rFonts w:ascii="Times New Roman" w:hAnsi="Times New Roman"/>
          <w:color w:val="000000"/>
        </w:rPr>
        <w:t xml:space="preserve"> allow the analysis of the most linked sectors within the economy – that is, </w:t>
      </w:r>
      <w:r w:rsidR="004B1AA0">
        <w:rPr>
          <w:rFonts w:ascii="Times New Roman" w:hAnsi="Times New Roman"/>
          <w:color w:val="000000"/>
        </w:rPr>
        <w:t xml:space="preserve">those whose demand changes cause impacts </w:t>
      </w:r>
      <w:r>
        <w:rPr>
          <w:rFonts w:ascii="Times New Roman" w:hAnsi="Times New Roman"/>
          <w:color w:val="000000"/>
        </w:rPr>
        <w:t>above the economy</w:t>
      </w:r>
      <w:r w:rsidR="004B1AA0">
        <w:rPr>
          <w:rFonts w:ascii="Times New Roman" w:hAnsi="Times New Roman"/>
          <w:color w:val="000000"/>
        </w:rPr>
        <w:t>’s</w:t>
      </w:r>
      <w:r>
        <w:rPr>
          <w:rFonts w:ascii="Times New Roman" w:hAnsi="Times New Roman"/>
          <w:color w:val="000000"/>
        </w:rPr>
        <w:t xml:space="preserve"> average – both on the supply side (forward) and </w:t>
      </w:r>
      <w:r w:rsidR="0070361A">
        <w:rPr>
          <w:rFonts w:ascii="Times New Roman" w:hAnsi="Times New Roman"/>
          <w:color w:val="000000"/>
        </w:rPr>
        <w:t>on</w:t>
      </w:r>
      <w:r>
        <w:rPr>
          <w:rFonts w:ascii="Times New Roman" w:hAnsi="Times New Roman"/>
          <w:color w:val="000000"/>
        </w:rPr>
        <w:t xml:space="preserve"> the demand side (backward).</w:t>
      </w:r>
    </w:p>
    <w:p w14:paraId="740E3783" w14:textId="223DB2F3" w:rsidR="001F7164" w:rsidRPr="001F7164" w:rsidRDefault="001F7164" w:rsidP="001F7164">
      <w:pPr>
        <w:autoSpaceDE w:val="0"/>
        <w:autoSpaceDN w:val="0"/>
        <w:adjustRightInd w:val="0"/>
        <w:spacing w:before="60" w:after="60" w:line="240" w:lineRule="auto"/>
        <w:ind w:firstLine="567"/>
        <w:jc w:val="both"/>
        <w:textAlignment w:val="center"/>
        <w:rPr>
          <w:rFonts w:ascii="Times New Roman" w:hAnsi="Times New Roman" w:cs="Baramond"/>
          <w:color w:val="000000"/>
          <w:spacing w:val="-2"/>
        </w:rPr>
      </w:pPr>
      <w:r>
        <w:rPr>
          <w:rFonts w:ascii="Times New Roman" w:hAnsi="Times New Roman"/>
          <w:color w:val="000000"/>
        </w:rPr>
        <w:t>The backward indicators – which are also called dispersion power</w:t>
      </w:r>
      <m:oMath>
        <m:r>
          <w:rPr>
            <w:rFonts w:ascii="Cambria Math" w:hAnsi="Cambria Math"/>
            <w:color w:val="000000"/>
          </w:rPr>
          <m:t xml:space="preserve"> </m:t>
        </m:r>
        <m:r>
          <m:rPr>
            <m:sty m:val="p"/>
          </m:rPr>
          <w:rPr>
            <w:rFonts w:ascii="Cambria Math" w:hAnsi="Cambria Math"/>
            <w:color w:val="000000"/>
          </w:rPr>
          <m:t>(</m:t>
        </m:r>
        <m:r>
          <w:rPr>
            <w:rFonts w:ascii="Cambria Math" w:hAnsi="Cambria Math" w:cs="Baramond"/>
            <w:color w:val="000000"/>
            <w:spacing w:val="-2"/>
            <w:lang w:eastAsia="pt-BR"/>
          </w:rPr>
          <m:t>P</m:t>
        </m:r>
        <m:sSub>
          <m:sSubPr>
            <m:ctrlPr>
              <w:rPr>
                <w:rFonts w:ascii="Cambria Math" w:hAnsi="Cambria Math" w:cs="Baramond"/>
                <w:color w:val="000000"/>
                <w:spacing w:val="-2"/>
                <w:lang w:eastAsia="pt-BR"/>
              </w:rPr>
            </m:ctrlPr>
          </m:sSubPr>
          <m:e>
            <m:r>
              <w:rPr>
                <w:rFonts w:ascii="Cambria Math" w:hAnsi="Cambria Math" w:cs="Baramond"/>
                <w:color w:val="000000"/>
                <w:spacing w:val="-2"/>
                <w:lang w:eastAsia="pt-BR"/>
              </w:rPr>
              <m:t>D</m:t>
            </m:r>
          </m:e>
          <m:sub>
            <m:r>
              <w:rPr>
                <w:rFonts w:ascii="Cambria Math" w:hAnsi="Cambria Math" w:cs="Baramond"/>
                <w:color w:val="000000"/>
                <w:spacing w:val="-2"/>
                <w:lang w:eastAsia="pt-BR"/>
              </w:rPr>
              <m:t>j</m:t>
            </m:r>
          </m:sub>
        </m:sSub>
      </m:oMath>
      <w:r>
        <w:rPr>
          <w:rFonts w:ascii="Times New Roman" w:hAnsi="Times New Roman"/>
          <w:color w:val="000000"/>
        </w:rPr>
        <w:t xml:space="preserve">) – </w:t>
      </w:r>
      <w:r w:rsidR="0070361A">
        <w:rPr>
          <w:rFonts w:ascii="Times New Roman" w:hAnsi="Times New Roman"/>
          <w:color w:val="000000"/>
        </w:rPr>
        <w:t>are</w:t>
      </w:r>
      <w:r>
        <w:rPr>
          <w:rFonts w:ascii="Times New Roman" w:hAnsi="Times New Roman"/>
          <w:color w:val="000000"/>
        </w:rPr>
        <w:t xml:space="preserve"> based on the </w:t>
      </w:r>
      <m:oMath>
        <m:r>
          <m:rPr>
            <m:sty m:val="b"/>
          </m:rPr>
          <w:rPr>
            <w:rFonts w:ascii="Cambria Math" w:hAnsi="Cambria Math" w:cs="Baramond"/>
            <w:color w:val="000000"/>
            <w:spacing w:val="-2"/>
            <w:lang w:eastAsia="pt-BR"/>
          </w:rPr>
          <m:t>B</m:t>
        </m:r>
        <m:r>
          <m:rPr>
            <m:sty m:val="p"/>
          </m:rPr>
          <w:rPr>
            <w:rFonts w:ascii="Cambria Math" w:hAnsi="Cambria Math" w:cs="Baramond"/>
            <w:color w:val="000000"/>
            <w:spacing w:val="-2"/>
            <w:lang w:eastAsia="pt-BR"/>
          </w:rPr>
          <m:t>=(</m:t>
        </m:r>
        <m:r>
          <m:rPr>
            <m:sty m:val="b"/>
          </m:rPr>
          <w:rPr>
            <w:rFonts w:ascii="Cambria Math" w:hAnsi="Cambria Math" w:cs="Baramond"/>
            <w:color w:val="000000"/>
            <w:spacing w:val="-2"/>
            <w:lang w:eastAsia="pt-BR"/>
          </w:rPr>
          <m:t>I</m:t>
        </m:r>
        <m:r>
          <m:rPr>
            <m:sty m:val="p"/>
          </m:rPr>
          <w:rPr>
            <w:rFonts w:ascii="Cambria Math" w:hAnsi="Cambria Math" w:cs="Baramond"/>
            <w:color w:val="000000"/>
            <w:spacing w:val="-2"/>
            <w:lang w:eastAsia="pt-BR"/>
          </w:rPr>
          <m:t>-</m:t>
        </m:r>
        <m:r>
          <m:rPr>
            <m:sty m:val="b"/>
          </m:rPr>
          <w:rPr>
            <w:rFonts w:ascii="Cambria Math" w:hAnsi="Cambria Math" w:cs="Baramond"/>
            <w:color w:val="000000"/>
            <w:spacing w:val="-2"/>
            <w:lang w:eastAsia="pt-BR"/>
          </w:rPr>
          <m:t>A</m:t>
        </m:r>
        <m:sSup>
          <m:sSupPr>
            <m:ctrlPr>
              <w:rPr>
                <w:rFonts w:ascii="Cambria Math" w:hAnsi="Cambria Math" w:cs="Baramond"/>
                <w:color w:val="000000"/>
                <w:spacing w:val="-2"/>
                <w:lang w:eastAsia="pt-BR"/>
              </w:rPr>
            </m:ctrlPr>
          </m:sSupPr>
          <m:e>
            <m:r>
              <m:rPr>
                <m:sty m:val="p"/>
              </m:rPr>
              <w:rPr>
                <w:rFonts w:ascii="Cambria Math" w:hAnsi="Cambria Math" w:cs="Baramond"/>
                <w:color w:val="000000"/>
                <w:spacing w:val="-2"/>
                <w:lang w:eastAsia="pt-BR"/>
              </w:rPr>
              <m:t>)</m:t>
            </m:r>
          </m:e>
          <m:sup>
            <m:r>
              <m:rPr>
                <m:sty m:val="p"/>
              </m:rPr>
              <w:rPr>
                <w:rFonts w:ascii="Cambria Math" w:hAnsi="Cambria Math" w:cs="Baramond"/>
                <w:color w:val="000000"/>
                <w:spacing w:val="-2"/>
                <w:lang w:eastAsia="pt-BR"/>
              </w:rPr>
              <m:t>-</m:t>
            </m:r>
            <m:r>
              <w:rPr>
                <w:rFonts w:ascii="Cambria Math" w:hAnsi="Cambria Math" w:cs="Baramond"/>
                <w:color w:val="000000"/>
                <w:spacing w:val="-2"/>
                <w:lang w:eastAsia="pt-BR"/>
              </w:rPr>
              <m:t>1</m:t>
            </m:r>
          </m:sup>
        </m:sSup>
      </m:oMath>
      <w:r>
        <w:rPr>
          <w:rFonts w:ascii="Times New Roman" w:hAnsi="Times New Roman"/>
          <w:color w:val="000000"/>
        </w:rPr>
        <w:t xml:space="preserve"> matrix, while the forward – dispersion sensitivities (</w:t>
      </w:r>
      <m:oMath>
        <m:r>
          <w:rPr>
            <w:rFonts w:ascii="Cambria Math" w:hAnsi="Cambria Math" w:cs="Baramond"/>
            <w:color w:val="000000"/>
            <w:spacing w:val="-2"/>
            <w:lang w:eastAsia="pt-BR"/>
          </w:rPr>
          <m:t>S</m:t>
        </m:r>
        <m:sSub>
          <m:sSubPr>
            <m:ctrlPr>
              <w:rPr>
                <w:rFonts w:ascii="Cambria Math" w:hAnsi="Cambria Math" w:cs="Baramond"/>
                <w:color w:val="000000"/>
                <w:spacing w:val="-2"/>
                <w:lang w:eastAsia="pt-BR"/>
              </w:rPr>
            </m:ctrlPr>
          </m:sSubPr>
          <m:e>
            <m:r>
              <w:rPr>
                <w:rFonts w:ascii="Cambria Math" w:hAnsi="Cambria Math" w:cs="Baramond"/>
                <w:color w:val="000000"/>
                <w:spacing w:val="-2"/>
                <w:lang w:eastAsia="pt-BR"/>
              </w:rPr>
              <m:t>D</m:t>
            </m:r>
          </m:e>
          <m:sub>
            <m:r>
              <w:rPr>
                <w:rFonts w:ascii="Cambria Math" w:hAnsi="Cambria Math" w:cs="Baramond"/>
                <w:color w:val="000000"/>
                <w:spacing w:val="-2"/>
                <w:lang w:eastAsia="pt-BR"/>
              </w:rPr>
              <m:t>j</m:t>
            </m:r>
          </m:sub>
        </m:sSub>
      </m:oMath>
      <w:r>
        <w:rPr>
          <w:rFonts w:ascii="Times New Roman" w:hAnsi="Times New Roman"/>
          <w:color w:val="000000"/>
        </w:rPr>
        <w:t xml:space="preserve">) – </w:t>
      </w:r>
      <w:r w:rsidR="0070361A">
        <w:rPr>
          <w:rFonts w:ascii="Times New Roman" w:hAnsi="Times New Roman"/>
          <w:color w:val="000000"/>
        </w:rPr>
        <w:t>are</w:t>
      </w:r>
      <w:r>
        <w:rPr>
          <w:rFonts w:ascii="Times New Roman" w:hAnsi="Times New Roman"/>
          <w:color w:val="000000"/>
        </w:rPr>
        <w:t xml:space="preserve"> calculated from the Ghosh matrix</w:t>
      </w:r>
      <w:r>
        <w:rPr>
          <w:rFonts w:ascii="Times New Roman" w:hAnsi="Times New Roman"/>
          <w:b/>
          <w:color w:val="000000"/>
        </w:rPr>
        <w:t xml:space="preserve"> </w:t>
      </w:r>
      <w:r w:rsidRPr="001F7164">
        <w:rPr>
          <w:rFonts w:ascii="Times New Roman" w:hAnsi="Times New Roman" w:cs="Baramond"/>
          <w:color w:val="000000"/>
        </w:rPr>
        <w:fldChar w:fldCharType="begin"/>
      </w:r>
      <w:r w:rsidRPr="001F7164">
        <w:rPr>
          <w:rFonts w:ascii="Times New Roman" w:hAnsi="Times New Roman" w:cs="Baramond"/>
          <w:color w:val="000000"/>
        </w:rPr>
        <w:instrText xml:space="preserve"> ADDIN ZOTERO_ITEM CSL_CITATION {"citationID":"bVxgXj0d","properties":{"formattedCitation":"(GHOSH, 1958)","plainCitation":"(GHOSH, 1958)","noteIndex":0},"citationItems":[{"id":35,"uris":["http://zotero.org/users/8767809/items/ERNZFWTC",["http://zotero.org/users/8767809/items/ERNZFWTC"]],"itemData":{"id":35,"type":"article-journal","container-title":"Economica","DOI":"10.2307/2550694","ISSN":"00130427","issue":"97","journalAbbreviation":"Economica","page":"58","source":"DOI.org (Crossref)","title":"Input-Output Approach in an Allocation System","volume":"25","author":[{"family":"Ghosh","given":"A."}],"issued":{"date-parts":[["1958",2]]}}}],"schema":"https://github.com/citation-style-language/schema/raw/master/csl-citation.json"} </w:instrText>
      </w:r>
      <w:r w:rsidRPr="001F7164">
        <w:rPr>
          <w:rFonts w:ascii="Times New Roman" w:hAnsi="Times New Roman" w:cs="Baramond"/>
          <w:color w:val="000000"/>
        </w:rPr>
        <w:fldChar w:fldCharType="separate"/>
      </w:r>
      <w:r w:rsidRPr="001F7164">
        <w:rPr>
          <w:rFonts w:ascii="Times New Roman" w:hAnsi="Times New Roman" w:cs="Baramond"/>
          <w:color w:val="000000"/>
        </w:rPr>
        <w:t>(</w:t>
      </w:r>
      <w:r w:rsidR="006E44FE">
        <w:rPr>
          <w:rFonts w:ascii="Times New Roman" w:hAnsi="Times New Roman" w:cs="Baramond"/>
          <w:color w:val="000000"/>
        </w:rPr>
        <w:t>Ghosh</w:t>
      </w:r>
      <w:r w:rsidRPr="001F7164">
        <w:rPr>
          <w:rFonts w:ascii="Times New Roman" w:hAnsi="Times New Roman" w:cs="Baramond"/>
          <w:color w:val="000000"/>
        </w:rPr>
        <w:t>, 1958)</w:t>
      </w:r>
      <w:r w:rsidRPr="001F7164">
        <w:rPr>
          <w:rFonts w:ascii="Times New Roman" w:hAnsi="Times New Roman" w:cs="Baramond"/>
          <w:color w:val="000000"/>
        </w:rPr>
        <w:fldChar w:fldCharType="end"/>
      </w:r>
      <w:r>
        <w:rPr>
          <w:rFonts w:ascii="Times New Roman" w:hAnsi="Times New Roman"/>
          <w:color w:val="000000"/>
        </w:rPr>
        <w:t xml:space="preserve"> in order to better capture the dynamics o</w:t>
      </w:r>
      <w:r w:rsidR="0070361A">
        <w:rPr>
          <w:rFonts w:ascii="Times New Roman" w:hAnsi="Times New Roman"/>
          <w:color w:val="000000"/>
        </w:rPr>
        <w:t>f</w:t>
      </w:r>
      <w:r>
        <w:rPr>
          <w:rFonts w:ascii="Times New Roman" w:hAnsi="Times New Roman"/>
          <w:color w:val="000000"/>
        </w:rPr>
        <w:t xml:space="preserve"> the economy’s supply side, looking at production from the perspective of destinations (along the lines of the IOT). </w:t>
      </w:r>
      <w:r>
        <w:rPr>
          <w:rFonts w:ascii="Times New Roman" w:hAnsi="Times New Roman"/>
          <w:color w:val="000000" w:themeColor="text1"/>
        </w:rPr>
        <w:t xml:space="preserve">For a comprehensive </w:t>
      </w:r>
      <w:r w:rsidR="006E44FE">
        <w:rPr>
          <w:rFonts w:ascii="Times New Roman" w:hAnsi="Times New Roman"/>
          <w:color w:val="000000" w:themeColor="text1"/>
        </w:rPr>
        <w:t>review</w:t>
      </w:r>
      <w:r>
        <w:rPr>
          <w:rFonts w:ascii="Times New Roman" w:hAnsi="Times New Roman"/>
          <w:color w:val="000000" w:themeColor="text1"/>
        </w:rPr>
        <w:t xml:space="preserve"> of the calculation and interpretation of these metrics, see </w:t>
      </w:r>
      <w:r w:rsidRPr="001F7164">
        <w:rPr>
          <w:rFonts w:ascii="Times New Roman" w:hAnsi="Times New Roman" w:cs="Baramond"/>
          <w:color w:val="000000" w:themeColor="text1"/>
        </w:rPr>
        <w:fldChar w:fldCharType="begin"/>
      </w:r>
      <w:r w:rsidRPr="001F7164">
        <w:rPr>
          <w:rFonts w:ascii="Times New Roman" w:hAnsi="Times New Roman" w:cs="Baramond"/>
          <w:color w:val="000000" w:themeColor="text1"/>
        </w:rPr>
        <w:instrText xml:space="preserve"> ADDIN ZOTERO_ITEM CSL_CITATION {"citationID":"oJcEpg7Z","properties":{"formattedCitation":"(VALE; PEROBELLI, 2020)","plainCitation":"(VALE; PEROBELLI, 2020)","dontUpdate":true,"noteIndex":0},"citationItems":[{"id":28,"uris":["http://zotero.org/users/8767809/items/GM4GBX4U",["http://zotero.org/users/8767809/items/GM4GBX4U"]],"itemData":{"id":28,"type":"book","event-place":"Curitiba","language":"pt","number-of-pages":"132","publisher":"Nedur/LATES","publisher-place":"Curitiba","title":"Análise de Insumo-Produto: teoria e aplicações no R","URL":"http://www.nedur.ufpr.br/portal/publicacoes/livros/ip-r/]","author":[{"family":"Vale","given":"Vale","suffix":"Vinícius A"},{"family":"Perobelli","given":"Fernando S"}],"accessed":{"date-parts":[["2021",11,19]]},"issued":{"date-parts":[["2020"]]}}}],"schema":"https://github.com/citation-style-language/schema/raw/master/csl-citation.json"} </w:instrText>
      </w:r>
      <w:r w:rsidRPr="001F7164">
        <w:rPr>
          <w:rFonts w:ascii="Times New Roman" w:hAnsi="Times New Roman" w:cs="Baramond"/>
          <w:color w:val="000000" w:themeColor="text1"/>
        </w:rPr>
        <w:fldChar w:fldCharType="separate"/>
      </w:r>
      <w:r w:rsidRPr="001F7164">
        <w:rPr>
          <w:rFonts w:ascii="Times New Roman" w:hAnsi="Times New Roman" w:cs="Baramond"/>
          <w:color w:val="000000" w:themeColor="text1"/>
        </w:rPr>
        <w:t>Vale</w:t>
      </w:r>
      <w:r w:rsidR="005E365E">
        <w:rPr>
          <w:rFonts w:ascii="Times New Roman" w:hAnsi="Times New Roman" w:cs="Baramond"/>
          <w:color w:val="000000" w:themeColor="text1"/>
        </w:rPr>
        <w:t xml:space="preserve"> and </w:t>
      </w:r>
      <w:r w:rsidRPr="001F7164">
        <w:rPr>
          <w:rFonts w:ascii="Times New Roman" w:hAnsi="Times New Roman" w:cs="Baramond"/>
          <w:color w:val="000000" w:themeColor="text1"/>
        </w:rPr>
        <w:t>Perobelli (2020, p. 80)</w:t>
      </w:r>
      <w:r w:rsidRPr="001F7164">
        <w:rPr>
          <w:rFonts w:ascii="Times New Roman" w:hAnsi="Times New Roman" w:cs="Baramond"/>
          <w:color w:val="000000" w:themeColor="text1"/>
        </w:rPr>
        <w:fldChar w:fldCharType="end"/>
      </w:r>
      <w:r>
        <w:rPr>
          <w:rFonts w:ascii="Times New Roman" w:hAnsi="Times New Roman"/>
          <w:color w:val="000000" w:themeColor="text1"/>
        </w:rPr>
        <w:t>.</w:t>
      </w:r>
    </w:p>
    <w:p w14:paraId="60747FCB" w14:textId="54C7DDEE" w:rsidR="001F7164" w:rsidRPr="001F7164" w:rsidRDefault="001F7164" w:rsidP="001F7164">
      <w:pPr>
        <w:autoSpaceDE w:val="0"/>
        <w:autoSpaceDN w:val="0"/>
        <w:adjustRightInd w:val="0"/>
        <w:spacing w:before="60" w:after="60" w:line="240" w:lineRule="auto"/>
        <w:ind w:firstLine="567"/>
        <w:jc w:val="both"/>
        <w:textAlignment w:val="center"/>
        <w:rPr>
          <w:rFonts w:ascii="Times New Roman" w:hAnsi="Times New Roman" w:cs="Baramond"/>
          <w:color w:val="000000"/>
        </w:rPr>
      </w:pPr>
      <w:r>
        <w:rPr>
          <w:rFonts w:ascii="Times New Roman" w:hAnsi="Times New Roman"/>
          <w:color w:val="000000"/>
        </w:rPr>
        <w:t>Therefore, if the indicator is greater than 1, the sector has a more intens</w:t>
      </w:r>
      <w:r w:rsidR="0070361A">
        <w:rPr>
          <w:rFonts w:ascii="Times New Roman" w:hAnsi="Times New Roman"/>
          <w:color w:val="000000"/>
        </w:rPr>
        <w:t>ive</w:t>
      </w:r>
      <w:r>
        <w:rPr>
          <w:rFonts w:ascii="Times New Roman" w:hAnsi="Times New Roman"/>
          <w:color w:val="000000"/>
        </w:rPr>
        <w:t xml:space="preserve"> demand or supply impact than the economy's average. If both </w:t>
      </w:r>
      <m:oMath>
        <m:r>
          <w:rPr>
            <w:rFonts w:ascii="Cambria Math" w:hAnsi="Cambria Math" w:cs="Baramond"/>
            <w:color w:val="000000"/>
            <w:lang w:eastAsia="pt-BR"/>
          </w:rPr>
          <m:t>P</m:t>
        </m:r>
        <m:sSub>
          <m:sSubPr>
            <m:ctrlPr>
              <w:rPr>
                <w:rFonts w:ascii="Cambria Math" w:hAnsi="Cambria Math" w:cs="Baramond"/>
                <w:color w:val="000000"/>
                <w:lang w:eastAsia="pt-BR"/>
              </w:rPr>
            </m:ctrlPr>
          </m:sSubPr>
          <m:e>
            <m:r>
              <w:rPr>
                <w:rFonts w:ascii="Cambria Math" w:hAnsi="Cambria Math" w:cs="Baramond"/>
                <w:color w:val="000000"/>
                <w:lang w:eastAsia="pt-BR"/>
              </w:rPr>
              <m:t>D</m:t>
            </m:r>
          </m:e>
          <m:sub>
            <m:r>
              <w:rPr>
                <w:rFonts w:ascii="Cambria Math" w:hAnsi="Cambria Math" w:cs="Baramond"/>
                <w:color w:val="000000"/>
                <w:lang w:eastAsia="pt-BR"/>
              </w:rPr>
              <m:t>j</m:t>
            </m:r>
          </m:sub>
        </m:sSub>
      </m:oMath>
      <w:r>
        <w:rPr>
          <w:rFonts w:ascii="Times New Roman" w:hAnsi="Times New Roman"/>
          <w:color w:val="000000"/>
        </w:rPr>
        <w:t xml:space="preserve"> and </w:t>
      </w:r>
      <m:oMath>
        <m:r>
          <w:rPr>
            <w:rFonts w:ascii="Cambria Math" w:hAnsi="Cambria Math" w:cs="Baramond"/>
            <w:color w:val="000000"/>
            <w:lang w:eastAsia="pt-BR"/>
          </w:rPr>
          <m:t>S</m:t>
        </m:r>
        <m:sSub>
          <m:sSubPr>
            <m:ctrlPr>
              <w:rPr>
                <w:rFonts w:ascii="Cambria Math" w:hAnsi="Cambria Math" w:cs="Baramond"/>
                <w:color w:val="000000"/>
                <w:lang w:eastAsia="pt-BR"/>
              </w:rPr>
            </m:ctrlPr>
          </m:sSubPr>
          <m:e>
            <m:r>
              <w:rPr>
                <w:rFonts w:ascii="Cambria Math" w:hAnsi="Cambria Math" w:cs="Baramond"/>
                <w:color w:val="000000"/>
                <w:lang w:eastAsia="pt-BR"/>
              </w:rPr>
              <m:t>D</m:t>
            </m:r>
          </m:e>
          <m:sub>
            <m:r>
              <w:rPr>
                <w:rFonts w:ascii="Cambria Math" w:hAnsi="Cambria Math" w:cs="Baramond"/>
                <w:color w:val="000000"/>
                <w:lang w:eastAsia="pt-BR"/>
              </w:rPr>
              <m:t>j</m:t>
            </m:r>
          </m:sub>
        </m:sSub>
      </m:oMath>
      <w:r>
        <w:rPr>
          <w:rFonts w:ascii="Times New Roman" w:hAnsi="Times New Roman"/>
          <w:color w:val="000000"/>
        </w:rPr>
        <w:t xml:space="preserve"> are greater than 1, the activity is classified as</w:t>
      </w:r>
      <w:r w:rsidR="006E44FE">
        <w:rPr>
          <w:rFonts w:ascii="Times New Roman" w:hAnsi="Times New Roman"/>
          <w:color w:val="000000"/>
        </w:rPr>
        <w:t xml:space="preserve"> a</w:t>
      </w:r>
      <w:r>
        <w:rPr>
          <w:rFonts w:ascii="Times New Roman" w:hAnsi="Times New Roman"/>
          <w:color w:val="000000"/>
        </w:rPr>
        <w:t xml:space="preserve"> </w:t>
      </w:r>
      <w:r w:rsidRPr="006E44FE">
        <w:rPr>
          <w:rFonts w:ascii="Times New Roman" w:hAnsi="Times New Roman"/>
          <w:i/>
          <w:iCs/>
          <w:color w:val="000000"/>
        </w:rPr>
        <w:t>key</w:t>
      </w:r>
      <w:r w:rsidR="006E44FE" w:rsidRPr="006E44FE">
        <w:rPr>
          <w:rFonts w:ascii="Times New Roman" w:hAnsi="Times New Roman"/>
          <w:i/>
          <w:iCs/>
          <w:color w:val="000000"/>
        </w:rPr>
        <w:t xml:space="preserve"> sector</w:t>
      </w:r>
      <w:r>
        <w:t>.</w:t>
      </w:r>
    </w:p>
    <w:p w14:paraId="70577B77" w14:textId="34F17F9D" w:rsidR="001F7164" w:rsidRPr="001F7164" w:rsidRDefault="001F7164" w:rsidP="001F7164">
      <w:pPr>
        <w:autoSpaceDE w:val="0"/>
        <w:autoSpaceDN w:val="0"/>
        <w:adjustRightInd w:val="0"/>
        <w:spacing w:before="60" w:after="60" w:line="240" w:lineRule="auto"/>
        <w:ind w:firstLine="567"/>
        <w:jc w:val="both"/>
        <w:textAlignment w:val="center"/>
        <w:rPr>
          <w:rFonts w:ascii="Times New Roman" w:hAnsi="Times New Roman" w:cs="Baramond"/>
          <w:color w:val="000000"/>
          <w:spacing w:val="-2"/>
        </w:rPr>
      </w:pPr>
      <w:r>
        <w:rPr>
          <w:rFonts w:ascii="Times New Roman" w:hAnsi="Times New Roman"/>
          <w:color w:val="000000"/>
        </w:rPr>
        <w:t>However, above-average impacts do not imply a high number of links, as the demand or supply effects of a given sector may be concentrated in that sector and in a few other activities. To assess this dispersion, coefficients of variation (</w:t>
      </w:r>
      <m:oMath>
        <m:r>
          <w:rPr>
            <w:rFonts w:ascii="Cambria Math" w:hAnsi="Cambria Math" w:cs="Baramond"/>
            <w:color w:val="000000"/>
            <w:spacing w:val="-2"/>
            <w:lang w:eastAsia="pt-BR"/>
          </w:rPr>
          <m:t>CV</m:t>
        </m:r>
      </m:oMath>
      <w:r>
        <w:rPr>
          <w:rFonts w:ascii="Times New Roman" w:hAnsi="Times New Roman"/>
          <w:color w:val="000000"/>
        </w:rPr>
        <w:t>)</w:t>
      </w:r>
      <w:r w:rsidR="00471645">
        <w:rPr>
          <w:rFonts w:ascii="Times New Roman" w:hAnsi="Times New Roman"/>
          <w:color w:val="000000"/>
        </w:rPr>
        <w:t xml:space="preserve"> are used</w:t>
      </w:r>
      <w:r>
        <w:rPr>
          <w:rFonts w:ascii="Times New Roman" w:hAnsi="Times New Roman"/>
          <w:color w:val="000000"/>
        </w:rPr>
        <w:t xml:space="preserve"> </w:t>
      </w:r>
      <w:r w:rsidRPr="001F7164">
        <w:rPr>
          <w:rFonts w:ascii="Times New Roman" w:hAnsi="Times New Roman" w:cs="Baramond"/>
          <w:color w:val="000000"/>
        </w:rPr>
        <w:fldChar w:fldCharType="begin"/>
      </w:r>
      <w:r w:rsidRPr="001F7164">
        <w:rPr>
          <w:rFonts w:ascii="Times New Roman" w:hAnsi="Times New Roman" w:cs="Baramond"/>
          <w:color w:val="000000"/>
        </w:rPr>
        <w:instrText xml:space="preserve"> ADDIN ZOTERO_ITEM CSL_CITATION {"citationID":"gRkZKml6","properties":{"formattedCitation":"(VALE; PEROBELLI, 2020)","plainCitation":"(VALE; PEROBELLI, 2020)","dontUpdate":true,"noteIndex":0},"citationItems":[{"id":28,"uris":["http://zotero.org/users/8767809/items/GM4GBX4U",["http://zotero.org/users/8767809/items/GM4GBX4U"]],"itemData":{"id":28,"type":"book","event-place":"Curitiba","language":"pt","number-of-pages":"132","publisher":"Nedur/LATES","publisher-place":"Curitiba","title":"Análise de Insumo-Produto: teoria e aplicações no R","URL":"http://www.nedur.ufpr.br/portal/publicacoes/livros/ip-r/]","author":[{"family":"Vale","given":"Vale","suffix":"Vinícius A"},{"family":"Perobelli","given":"Fernando S"}],"accessed":{"date-parts":[["2021",11,19]]},"issued":{"date-parts":[["2020"]]}}}],"schema":"https://github.com/citation-style-language/schema/raw/master/csl-citation.json"} </w:instrText>
      </w:r>
      <w:r w:rsidRPr="001F7164">
        <w:rPr>
          <w:rFonts w:ascii="Times New Roman" w:hAnsi="Times New Roman" w:cs="Baramond"/>
          <w:color w:val="000000"/>
        </w:rPr>
        <w:fldChar w:fldCharType="separate"/>
      </w:r>
      <w:r w:rsidRPr="001F7164">
        <w:rPr>
          <w:rFonts w:ascii="Times New Roman" w:hAnsi="Times New Roman" w:cs="Baramond"/>
          <w:color w:val="000000"/>
        </w:rPr>
        <w:t>(</w:t>
      </w:r>
      <w:r w:rsidR="006E44FE">
        <w:rPr>
          <w:rFonts w:ascii="Times New Roman" w:hAnsi="Times New Roman" w:cs="Baramond"/>
          <w:color w:val="000000"/>
        </w:rPr>
        <w:t>Vale</w:t>
      </w:r>
      <w:r w:rsidRPr="001F7164">
        <w:rPr>
          <w:rFonts w:ascii="Times New Roman" w:hAnsi="Times New Roman" w:cs="Baramond"/>
          <w:color w:val="000000"/>
        </w:rPr>
        <w:t xml:space="preserve">; </w:t>
      </w:r>
      <w:r w:rsidR="006E44FE">
        <w:rPr>
          <w:rFonts w:ascii="Times New Roman" w:hAnsi="Times New Roman" w:cs="Baramond"/>
          <w:color w:val="000000"/>
        </w:rPr>
        <w:t>Perobelli</w:t>
      </w:r>
      <w:r w:rsidRPr="001F7164">
        <w:rPr>
          <w:rFonts w:ascii="Times New Roman" w:hAnsi="Times New Roman" w:cs="Baramond"/>
          <w:color w:val="000000"/>
        </w:rPr>
        <w:t>, 2020, p. 81)</w:t>
      </w:r>
      <w:r w:rsidRPr="001F7164">
        <w:rPr>
          <w:rFonts w:ascii="Times New Roman" w:hAnsi="Times New Roman" w:cs="Baramond"/>
          <w:color w:val="000000"/>
        </w:rPr>
        <w:fldChar w:fldCharType="end"/>
      </w:r>
      <w:r>
        <w:rPr>
          <w:rFonts w:ascii="Times New Roman" w:hAnsi="Times New Roman"/>
          <w:color w:val="000000"/>
        </w:rPr>
        <w:t xml:space="preserve">, which can also be calculated from a supply and demand perspective. The </w:t>
      </w:r>
      <w:r>
        <w:rPr>
          <w:rFonts w:ascii="Times New Roman" w:hAnsi="Times New Roman"/>
          <w:color w:val="000000"/>
        </w:rPr>
        <w:lastRenderedPageBreak/>
        <w:t xml:space="preserve">lower the coefficient, the more dispersed the impact of the sector, i.e. the greater the number of activities it affects. On the other hand, if </w:t>
      </w:r>
      <m:oMath>
        <m:r>
          <w:rPr>
            <w:rFonts w:ascii="Cambria Math" w:hAnsi="Cambria Math" w:cs="Baramond"/>
            <w:color w:val="000000"/>
            <w:spacing w:val="-2"/>
            <w:lang w:eastAsia="pt-BR"/>
          </w:rPr>
          <m:t>CV</m:t>
        </m:r>
      </m:oMath>
      <w:r>
        <w:rPr>
          <w:rFonts w:ascii="Times New Roman" w:hAnsi="Times New Roman"/>
          <w:color w:val="000000"/>
        </w:rPr>
        <w:t xml:space="preserve"> is high, the impact of its supply/demand is concentrated in a few industries.</w:t>
      </w:r>
    </w:p>
    <w:p w14:paraId="67287392" w14:textId="145C865F" w:rsidR="001F7164" w:rsidRPr="001F7164" w:rsidRDefault="001F7164" w:rsidP="001F7164">
      <w:pPr>
        <w:autoSpaceDE w:val="0"/>
        <w:autoSpaceDN w:val="0"/>
        <w:adjustRightInd w:val="0"/>
        <w:spacing w:before="60" w:after="60" w:line="240" w:lineRule="auto"/>
        <w:ind w:firstLine="567"/>
        <w:jc w:val="both"/>
        <w:textAlignment w:val="center"/>
        <w:rPr>
          <w:rFonts w:ascii="Times New Roman" w:hAnsi="Times New Roman" w:cs="Baramond"/>
          <w:color w:val="000000"/>
        </w:rPr>
      </w:pPr>
      <w:r>
        <w:rPr>
          <w:rFonts w:ascii="Times New Roman" w:hAnsi="Times New Roman"/>
          <w:color w:val="000000"/>
        </w:rPr>
        <w:t xml:space="preserve">Finally, although they provide an interesting analysis of the interconnectedness of the economy, traditional linkage </w:t>
      </w:r>
      <w:r w:rsidR="004539EE">
        <w:rPr>
          <w:rFonts w:ascii="Times New Roman" w:hAnsi="Times New Roman"/>
          <w:color w:val="000000"/>
        </w:rPr>
        <w:t>indexes</w:t>
      </w:r>
      <w:r>
        <w:rPr>
          <w:rFonts w:ascii="Times New Roman" w:hAnsi="Times New Roman"/>
          <w:color w:val="000000"/>
        </w:rPr>
        <w:t xml:space="preserve"> are sensitive to the size of each sector's output. To overcome these problems, </w:t>
      </w:r>
      <w:r w:rsidR="002D23F0">
        <w:rPr>
          <w:rFonts w:ascii="Times New Roman" w:hAnsi="Times New Roman"/>
          <w:color w:val="000000"/>
        </w:rPr>
        <w:t xml:space="preserve">we consider </w:t>
      </w:r>
      <w:r>
        <w:rPr>
          <w:rFonts w:ascii="Times New Roman" w:hAnsi="Times New Roman"/>
          <w:color w:val="000000"/>
        </w:rPr>
        <w:t xml:space="preserve">pure linkage </w:t>
      </w:r>
      <w:r w:rsidR="004539EE">
        <w:rPr>
          <w:rFonts w:ascii="Times New Roman" w:hAnsi="Times New Roman"/>
          <w:color w:val="000000"/>
        </w:rPr>
        <w:t>indexes</w:t>
      </w:r>
      <w:r>
        <w:rPr>
          <w:rFonts w:ascii="Times New Roman" w:hAnsi="Times New Roman"/>
          <w:color w:val="000000"/>
        </w:rPr>
        <w:t xml:space="preserve"> </w:t>
      </w:r>
      <w:r w:rsidRPr="001F7164">
        <w:rPr>
          <w:rFonts w:ascii="Times New Roman" w:hAnsi="Times New Roman" w:cs="Baramond"/>
          <w:color w:val="000000"/>
        </w:rPr>
        <w:fldChar w:fldCharType="begin"/>
      </w:r>
      <w:r w:rsidRPr="001F7164">
        <w:rPr>
          <w:rFonts w:ascii="Times New Roman" w:hAnsi="Times New Roman" w:cs="Baramond"/>
          <w:color w:val="000000"/>
        </w:rPr>
        <w:instrText xml:space="preserve"> ADDIN ZOTERO_ITEM CSL_CITATION {"citationID":"ucLBng08","properties":{"formattedCitation":"(GUILHOTO et al., 1994)","plainCitation":"(GUILHOTO et al., 1994)","noteIndex":0},"citationItems":[{"id":38,"uris":["http://zotero.org/users/8767809/items/P6F7UK4E",["http://zotero.org/users/8767809/items/P6F7UK4E"]],"itemData":{"id":38,"type":"article-journal","container-title":"Pesquisa e Planejamento Econômico","language":"pt","title":"Índices de Ligações e Setores Chave na Economia Brasileira: 1959-1980","URL":"https://papers.ssrn.com/sol3/papers.cfm?abstract_id=2420472","volume":"24","author":[{"family":"Guilhoto","given":"Joaquim José Martins"},{"family":"Sonis","given":"Michael"},{"family":"Hewings","given":"Geoffrey"},{"family":"Martins","given":"Eduardo"}],"accessed":{"date-parts":[["2021",11,19]]},"issued":{"date-parts":[["1994"]]}}}],"schema":"https://github.com/citation-style-language/schema/raw/master/csl-citation.json"} </w:instrText>
      </w:r>
      <w:r w:rsidRPr="001F7164">
        <w:rPr>
          <w:rFonts w:ascii="Times New Roman" w:hAnsi="Times New Roman" w:cs="Baramond"/>
          <w:color w:val="000000"/>
        </w:rPr>
        <w:fldChar w:fldCharType="separate"/>
      </w:r>
      <w:r w:rsidRPr="001F7164">
        <w:rPr>
          <w:rFonts w:ascii="Times New Roman" w:hAnsi="Times New Roman" w:cs="Baramond"/>
          <w:color w:val="000000"/>
        </w:rPr>
        <w:t>(</w:t>
      </w:r>
      <w:r w:rsidR="00A15C46">
        <w:rPr>
          <w:rFonts w:ascii="Times New Roman" w:hAnsi="Times New Roman" w:cs="Baramond"/>
          <w:color w:val="000000"/>
        </w:rPr>
        <w:t>Guilhoto</w:t>
      </w:r>
      <w:r w:rsidRPr="001F7164">
        <w:rPr>
          <w:rFonts w:ascii="Times New Roman" w:hAnsi="Times New Roman" w:cs="Baramond"/>
          <w:color w:val="000000"/>
        </w:rPr>
        <w:t xml:space="preserve"> et al., 1994)</w:t>
      </w:r>
      <w:r w:rsidRPr="001F7164">
        <w:rPr>
          <w:rFonts w:ascii="Times New Roman" w:hAnsi="Times New Roman" w:cs="Baramond"/>
          <w:color w:val="000000"/>
        </w:rPr>
        <w:fldChar w:fldCharType="end"/>
      </w:r>
      <w:r>
        <w:rPr>
          <w:rFonts w:ascii="Times New Roman" w:hAnsi="Times New Roman"/>
          <w:color w:val="000000"/>
        </w:rPr>
        <w:t>.</w:t>
      </w:r>
      <w:r w:rsidR="00D526A8" w:rsidRPr="00D526A8">
        <w:rPr>
          <w:rFonts w:ascii="Times New Roman" w:hAnsi="Times New Roman"/>
          <w:sz w:val="18"/>
        </w:rPr>
        <w:t xml:space="preserve"> </w:t>
      </w:r>
      <w:r w:rsidR="00D526A8" w:rsidRPr="00D526A8">
        <w:rPr>
          <w:rFonts w:ascii="Times New Roman" w:hAnsi="Times New Roman"/>
          <w:color w:val="000000"/>
        </w:rPr>
        <w:t xml:space="preserve">For a practical discussion of how to calculate these indicators, see </w:t>
      </w:r>
      <w:r w:rsidR="00D526A8" w:rsidRPr="00D526A8">
        <w:rPr>
          <w:rFonts w:ascii="Times New Roman" w:hAnsi="Times New Roman"/>
          <w:color w:val="000000"/>
        </w:rPr>
        <w:fldChar w:fldCharType="begin"/>
      </w:r>
      <w:r w:rsidR="00D526A8" w:rsidRPr="00D526A8">
        <w:rPr>
          <w:rFonts w:ascii="Times New Roman" w:hAnsi="Times New Roman"/>
          <w:color w:val="000000"/>
        </w:rPr>
        <w:instrText xml:space="preserve"> ADDIN ZOTERO_ITEM CSL_CITATION {"citationID":"sfCL7CFh","properties":{"formattedCitation":"(VALE; PEROBELLI, 2020)","plainCitation":"(VALE; PEROBELLI, 2020)","dontUpdate":true,"noteIndex":0},"citationItems":[{"id":28,"uris":["http://zotero.org/users/8767809/items/GM4GBX4U",["http://zotero.org/users/8767809/items/GM4GBX4U"]],"itemData":{"id":28,"type":"book","event-place":"Curitiba","language":"pt","number-of-pages":"132","publisher":"Nedur/LATES","publisher-place":"Curitiba","title":"Análise de Insumo-Produto: teoria e aplicações no R","URL":"http://www.nedur.ufpr.br/portal/publicacoes/livros/ip-r/]","author":[{"family":"Vale","given":"Vale","suffix":"Vinícius A"},{"family":"Perobelli","given":"Fernando S"}],"accessed":{"date-parts":[["2021",11,19]]},"issued":{"date-parts":[["2020"]]}}}],"schema":"https://github.com/citation-style-language/schema/raw/master/csl-citation.json"} </w:instrText>
      </w:r>
      <w:r w:rsidR="00D526A8" w:rsidRPr="00D526A8">
        <w:rPr>
          <w:rFonts w:ascii="Times New Roman" w:hAnsi="Times New Roman"/>
          <w:color w:val="000000"/>
        </w:rPr>
        <w:fldChar w:fldCharType="separate"/>
      </w:r>
      <w:r w:rsidR="00D526A8" w:rsidRPr="00D526A8">
        <w:rPr>
          <w:rFonts w:ascii="Times New Roman" w:hAnsi="Times New Roman"/>
          <w:color w:val="000000"/>
        </w:rPr>
        <w:t>Vale e Perobelli (2020, p. 91)</w:t>
      </w:r>
      <w:r w:rsidR="00D526A8" w:rsidRPr="00D526A8">
        <w:rPr>
          <w:rFonts w:ascii="Times New Roman" w:hAnsi="Times New Roman"/>
          <w:color w:val="000000"/>
        </w:rPr>
        <w:fldChar w:fldCharType="end"/>
      </w:r>
      <w:r w:rsidR="00D526A8" w:rsidRPr="00D526A8">
        <w:rPr>
          <w:rFonts w:ascii="Times New Roman" w:hAnsi="Times New Roman"/>
          <w:color w:val="000000"/>
        </w:rPr>
        <w:t>.</w:t>
      </w:r>
      <w:r>
        <w:rPr>
          <w:rFonts w:ascii="Times New Roman" w:hAnsi="Times New Roman"/>
          <w:color w:val="000000"/>
        </w:rPr>
        <w:t xml:space="preserve"> Although </w:t>
      </w:r>
      <w:r w:rsidR="002D23F0">
        <w:rPr>
          <w:rFonts w:ascii="Times New Roman" w:hAnsi="Times New Roman"/>
          <w:color w:val="000000"/>
        </w:rPr>
        <w:t>mathematically</w:t>
      </w:r>
      <w:r>
        <w:rPr>
          <w:rFonts w:ascii="Times New Roman" w:hAnsi="Times New Roman"/>
          <w:color w:val="000000"/>
        </w:rPr>
        <w:t xml:space="preserve"> complex, the </w:t>
      </w:r>
      <w:r w:rsidR="004539EE">
        <w:rPr>
          <w:rFonts w:ascii="Times New Roman" w:hAnsi="Times New Roman"/>
          <w:color w:val="000000"/>
        </w:rPr>
        <w:t>indexes</w:t>
      </w:r>
      <w:r>
        <w:rPr>
          <w:rFonts w:ascii="Times New Roman" w:hAnsi="Times New Roman"/>
          <w:color w:val="000000"/>
        </w:rPr>
        <w:t xml:space="preserve"> are intuitive to interpret:</w:t>
      </w:r>
    </w:p>
    <w:p w14:paraId="15E6A53F" w14:textId="18145DCE" w:rsidR="001F7164" w:rsidRPr="001F7164" w:rsidRDefault="001F7164" w:rsidP="001F7164">
      <w:pPr>
        <w:numPr>
          <w:ilvl w:val="0"/>
          <w:numId w:val="3"/>
        </w:numPr>
        <w:spacing w:after="0" w:line="240" w:lineRule="auto"/>
        <w:ind w:left="567" w:hanging="210"/>
        <w:jc w:val="both"/>
        <w:rPr>
          <w:rFonts w:ascii="Times New Roman" w:eastAsiaTheme="minorHAnsi" w:hAnsi="Times New Roman"/>
        </w:rPr>
      </w:pPr>
      <w:r>
        <w:rPr>
          <w:rFonts w:ascii="Times New Roman" w:hAnsi="Times New Roman"/>
        </w:rPr>
        <w:t>The normalized pure backward index (</w:t>
      </w:r>
      <m:oMath>
        <m:sSub>
          <m:sSubPr>
            <m:ctrlPr>
              <w:rPr>
                <w:rFonts w:ascii="Cambria Math" w:eastAsiaTheme="minorHAnsi" w:hAnsi="Cambria Math"/>
                <w:i/>
              </w:rPr>
            </m:ctrlPr>
          </m:sSubPr>
          <m:e>
            <m:bar>
              <m:barPr>
                <m:pos m:val="top"/>
                <m:ctrlPr>
                  <w:rPr>
                    <w:rFonts w:ascii="Cambria Math" w:eastAsiaTheme="minorHAnsi" w:hAnsi="Cambria Math"/>
                  </w:rPr>
                </m:ctrlPr>
              </m:barPr>
              <m:e>
                <m:r>
                  <w:rPr>
                    <w:rFonts w:ascii="Cambria Math" w:eastAsiaTheme="minorHAnsi" w:hAnsi="Cambria Math"/>
                  </w:rPr>
                  <m:t>PBL</m:t>
                </m:r>
              </m:e>
            </m:bar>
          </m:e>
          <m:sub>
            <m:r>
              <w:rPr>
                <w:rFonts w:ascii="Cambria Math" w:eastAsiaTheme="minorHAnsi" w:hAnsi="Cambria Math"/>
              </w:rPr>
              <m:t>j</m:t>
            </m:r>
          </m:sub>
        </m:sSub>
      </m:oMath>
      <w:r>
        <w:rPr>
          <w:rFonts w:ascii="Times New Roman" w:hAnsi="Times New Roman"/>
        </w:rPr>
        <w:t xml:space="preserve">) shows the impact of the sector's output value </w:t>
      </w:r>
      <m:oMath>
        <m:r>
          <w:rPr>
            <w:rFonts w:ascii="Cambria Math" w:eastAsiaTheme="minorHAnsi" w:hAnsi="Cambria Math"/>
          </w:rPr>
          <m:t>j</m:t>
        </m:r>
      </m:oMath>
      <w:r>
        <w:rPr>
          <w:rFonts w:ascii="Times New Roman" w:hAnsi="Times New Roman"/>
        </w:rPr>
        <w:t xml:space="preserve"> on the rest of the economy, excluding demand for its own products and returns from the rest of the economy to the activity. Thus, the index shows the relative importance of the sector's demand</w:t>
      </w:r>
      <w:r w:rsidR="00A15C46">
        <w:rPr>
          <w:rFonts w:ascii="Times New Roman" w:hAnsi="Times New Roman"/>
        </w:rPr>
        <w:t>.</w:t>
      </w:r>
    </w:p>
    <w:p w14:paraId="4C5E295E" w14:textId="457B3B05" w:rsidR="001F7164" w:rsidRPr="001F7164" w:rsidRDefault="001F7164" w:rsidP="001F7164">
      <w:pPr>
        <w:numPr>
          <w:ilvl w:val="0"/>
          <w:numId w:val="3"/>
        </w:numPr>
        <w:spacing w:after="0" w:line="240" w:lineRule="auto"/>
        <w:ind w:left="567" w:hanging="210"/>
        <w:jc w:val="both"/>
        <w:rPr>
          <w:rFonts w:ascii="Times New Roman" w:eastAsiaTheme="minorHAnsi" w:hAnsi="Times New Roman"/>
        </w:rPr>
      </w:pPr>
      <w:r>
        <w:rPr>
          <w:rFonts w:ascii="Times New Roman" w:hAnsi="Times New Roman"/>
        </w:rPr>
        <w:t>The normalized forward index (</w:t>
      </w:r>
      <m:oMath>
        <m:sSub>
          <m:sSubPr>
            <m:ctrlPr>
              <w:rPr>
                <w:rFonts w:ascii="Cambria Math" w:eastAsiaTheme="minorHAnsi" w:hAnsi="Cambria Math"/>
                <w:i/>
              </w:rPr>
            </m:ctrlPr>
          </m:sSubPr>
          <m:e>
            <m:bar>
              <m:barPr>
                <m:pos m:val="top"/>
                <m:ctrlPr>
                  <w:rPr>
                    <w:rFonts w:ascii="Cambria Math" w:eastAsiaTheme="minorHAnsi" w:hAnsi="Cambria Math"/>
                  </w:rPr>
                </m:ctrlPr>
              </m:barPr>
              <m:e>
                <m:r>
                  <w:rPr>
                    <w:rFonts w:ascii="Cambria Math" w:eastAsiaTheme="minorHAnsi" w:hAnsi="Cambria Math"/>
                  </w:rPr>
                  <m:t>PFL</m:t>
                </m:r>
              </m:e>
            </m:bar>
          </m:e>
          <m:sub>
            <m:r>
              <w:rPr>
                <w:rFonts w:ascii="Cambria Math" w:eastAsiaTheme="minorHAnsi" w:hAnsi="Cambria Math"/>
              </w:rPr>
              <m:t>j</m:t>
            </m:r>
          </m:sub>
        </m:sSub>
      </m:oMath>
      <w:r>
        <w:rPr>
          <w:rFonts w:ascii="Times New Roman" w:hAnsi="Times New Roman"/>
        </w:rPr>
        <w:t xml:space="preserve">) shows the impact of the production of the rest of the economy on the </w:t>
      </w:r>
      <m:oMath>
        <m:r>
          <w:rPr>
            <w:rFonts w:ascii="Cambria Math" w:eastAsiaTheme="minorHAnsi" w:hAnsi="Cambria Math"/>
          </w:rPr>
          <m:t>j</m:t>
        </m:r>
      </m:oMath>
      <w:r>
        <w:rPr>
          <w:rFonts w:ascii="Times New Roman" w:hAnsi="Times New Roman"/>
        </w:rPr>
        <w:t xml:space="preserve"> sector, i.e. the relative importance of its supply</w:t>
      </w:r>
      <w:r w:rsidR="00A15C46">
        <w:rPr>
          <w:rFonts w:ascii="Times New Roman" w:hAnsi="Times New Roman"/>
        </w:rPr>
        <w:t>.</w:t>
      </w:r>
    </w:p>
    <w:p w14:paraId="5365DFED" w14:textId="77777777" w:rsidR="001F7164" w:rsidRPr="001F7164" w:rsidRDefault="001F7164" w:rsidP="001F7164">
      <w:pPr>
        <w:numPr>
          <w:ilvl w:val="0"/>
          <w:numId w:val="3"/>
        </w:numPr>
        <w:spacing w:after="0" w:line="240" w:lineRule="auto"/>
        <w:ind w:left="567" w:hanging="210"/>
        <w:jc w:val="both"/>
        <w:rPr>
          <w:rFonts w:ascii="Times New Roman" w:eastAsiaTheme="minorHAnsi" w:hAnsi="Times New Roman"/>
        </w:rPr>
      </w:pPr>
      <w:r>
        <w:rPr>
          <w:rFonts w:ascii="Times New Roman" w:hAnsi="Times New Roman"/>
        </w:rPr>
        <w:t>The normalized total pure index (</w:t>
      </w:r>
      <m:oMath>
        <m:sSub>
          <m:sSubPr>
            <m:ctrlPr>
              <w:rPr>
                <w:rFonts w:ascii="Cambria Math" w:eastAsiaTheme="minorHAnsi" w:hAnsi="Cambria Math"/>
                <w:i/>
              </w:rPr>
            </m:ctrlPr>
          </m:sSubPr>
          <m:e>
            <m:bar>
              <m:barPr>
                <m:pos m:val="top"/>
                <m:ctrlPr>
                  <w:rPr>
                    <w:rFonts w:ascii="Cambria Math" w:eastAsiaTheme="minorHAnsi" w:hAnsi="Cambria Math"/>
                  </w:rPr>
                </m:ctrlPr>
              </m:barPr>
              <m:e>
                <m:r>
                  <w:rPr>
                    <w:rFonts w:ascii="Cambria Math" w:eastAsiaTheme="minorHAnsi" w:hAnsi="Cambria Math"/>
                  </w:rPr>
                  <m:t>PTL</m:t>
                </m:r>
              </m:e>
            </m:bar>
          </m:e>
          <m:sub>
            <m:r>
              <w:rPr>
                <w:rFonts w:ascii="Cambria Math" w:eastAsiaTheme="minorHAnsi" w:hAnsi="Cambria Math"/>
              </w:rPr>
              <m:t>j</m:t>
            </m:r>
          </m:sub>
        </m:sSub>
      </m:oMath>
      <w:r>
        <w:rPr>
          <w:rFonts w:ascii="Times New Roman" w:hAnsi="Times New Roman"/>
        </w:rPr>
        <w:t>) is calculated from the average between the previous metrics and indicates the total impact or dynamism of the sector, relative to the economy's average. If the metric is greater than 1, the sector is considered key.</w:t>
      </w:r>
    </w:p>
    <w:p w14:paraId="064C6CB4" w14:textId="77777777" w:rsidR="001F7164" w:rsidRPr="001F7164" w:rsidRDefault="001F7164" w:rsidP="001F7164">
      <w:pPr>
        <w:spacing w:after="0" w:line="240" w:lineRule="auto"/>
        <w:jc w:val="both"/>
        <w:rPr>
          <w:rFonts w:ascii="Times New Roman" w:eastAsia="Times New Roman" w:hAnsi="Times New Roman"/>
          <w:sz w:val="24"/>
          <w:szCs w:val="24"/>
          <w:lang w:eastAsia="pt-BR"/>
        </w:rPr>
      </w:pPr>
    </w:p>
    <w:p w14:paraId="3CF2F48E" w14:textId="34883FB5" w:rsidR="001F7164" w:rsidRPr="001F7164" w:rsidRDefault="001F7164" w:rsidP="001F7164">
      <w:pPr>
        <w:tabs>
          <w:tab w:val="center" w:pos="4800"/>
          <w:tab w:val="right" w:pos="9500"/>
        </w:tabs>
        <w:spacing w:after="0" w:line="260" w:lineRule="atLeast"/>
        <w:outlineLvl w:val="1"/>
        <w:rPr>
          <w:rFonts w:ascii="Tahoma" w:eastAsia="Times New Roman" w:hAnsi="Tahoma" w:cs="Tahoma"/>
          <w:b/>
        </w:rPr>
      </w:pPr>
      <w:r>
        <w:rPr>
          <w:rFonts w:ascii="Tahoma" w:hAnsi="Tahoma"/>
          <w:b/>
        </w:rPr>
        <w:t>3.2. Regional Input-Output Matrix</w:t>
      </w:r>
    </w:p>
    <w:p w14:paraId="4F9CCA25" w14:textId="77777777" w:rsidR="001F7164" w:rsidRPr="001F7164" w:rsidRDefault="001F7164" w:rsidP="001F7164">
      <w:pPr>
        <w:spacing w:after="0" w:line="240" w:lineRule="auto"/>
        <w:jc w:val="both"/>
        <w:rPr>
          <w:rFonts w:ascii="Times New Roman" w:eastAsia="Times New Roman" w:hAnsi="Times New Roman"/>
          <w:sz w:val="24"/>
          <w:szCs w:val="24"/>
          <w:lang w:eastAsia="pt-BR"/>
        </w:rPr>
      </w:pPr>
    </w:p>
    <w:p w14:paraId="4D03D01F" w14:textId="388C2E0B" w:rsidR="001F7164" w:rsidRPr="001F7164" w:rsidRDefault="001F7164" w:rsidP="001F7164">
      <w:pPr>
        <w:autoSpaceDE w:val="0"/>
        <w:autoSpaceDN w:val="0"/>
        <w:adjustRightInd w:val="0"/>
        <w:spacing w:before="60" w:after="60" w:line="240" w:lineRule="auto"/>
        <w:ind w:firstLine="567"/>
        <w:jc w:val="both"/>
        <w:textAlignment w:val="center"/>
        <w:rPr>
          <w:rFonts w:ascii="Times New Roman" w:hAnsi="Times New Roman" w:cs="Baramond"/>
          <w:color w:val="000000"/>
          <w:spacing w:val="-2"/>
        </w:rPr>
      </w:pPr>
      <w:r>
        <w:rPr>
          <w:rFonts w:ascii="Times New Roman" w:hAnsi="Times New Roman"/>
          <w:color w:val="000000"/>
        </w:rPr>
        <w:t>Originally designed for applications at the national level, the input-output model can be used to analyze subnational units, given, for example, different technologies and production levels in each region and the greater importance of interregional flows for smaller economies, both with the rest of the country and with the international market (</w:t>
      </w:r>
      <w:r w:rsidR="00A15C46">
        <w:rPr>
          <w:rFonts w:ascii="Times New Roman" w:hAnsi="Times New Roman"/>
          <w:color w:val="000000"/>
        </w:rPr>
        <w:t>Miller</w:t>
      </w:r>
      <w:r>
        <w:rPr>
          <w:rFonts w:ascii="Times New Roman" w:hAnsi="Times New Roman"/>
          <w:color w:val="000000"/>
        </w:rPr>
        <w:t xml:space="preserve">; </w:t>
      </w:r>
      <w:r w:rsidR="00A15C46">
        <w:rPr>
          <w:rFonts w:ascii="Times New Roman" w:hAnsi="Times New Roman"/>
          <w:color w:val="000000"/>
        </w:rPr>
        <w:t>Blair</w:t>
      </w:r>
      <w:r>
        <w:rPr>
          <w:rFonts w:ascii="Times New Roman" w:hAnsi="Times New Roman"/>
          <w:color w:val="000000"/>
        </w:rPr>
        <w:t xml:space="preserve">, 2009, p. 69). In addition, as pointed out by </w:t>
      </w:r>
      <w:r w:rsidRPr="001F7164">
        <w:rPr>
          <w:rFonts w:ascii="Times New Roman" w:hAnsi="Times New Roman" w:cs="Baramond"/>
          <w:color w:val="000000"/>
        </w:rPr>
        <w:fldChar w:fldCharType="begin"/>
      </w:r>
      <w:r w:rsidRPr="001F7164">
        <w:rPr>
          <w:rFonts w:ascii="Times New Roman" w:hAnsi="Times New Roman" w:cs="Baramond"/>
          <w:color w:val="000000"/>
        </w:rPr>
        <w:instrText xml:space="preserve"> ADDIN ZOTERO_ITEM CSL_CITATION {"citationID":"OBjjoCLe","properties":{"formattedCitation":"(ISARD et al., 1998)","plainCitation":"(ISARD et al., 1998)","dontUpdate":true,"noteIndex":0},"citationItems":[{"id":75,"uris":["http://zotero.org/users/8767809/items/UI442CP2",["http://zotero.org/users/8767809/items/UI442CP2"]],"itemData":{"id":75,"type":"book","ISBN":"978-1-85972-410-1","number-of-pages":"514","publisher":"Routledge","title":"Methods of Interregional and Regional Analysis","author":[{"family":"Isard","given":"Walter"},{"family":"Azis","given":"Iwan"},{"family":"Drennan","given":"Matthew"},{"family":"Miller","given":"Ronald E."},{"family":"Saltzman","given":"Sidney"},{"family":"Thorbecke","given":"Erik"}],"issued":{"date-parts":[["1998"]]}}}],"schema":"https://github.com/citation-style-language/schema/raw/master/csl-citation.json"} </w:instrText>
      </w:r>
      <w:r w:rsidRPr="001F7164">
        <w:rPr>
          <w:rFonts w:ascii="Times New Roman" w:hAnsi="Times New Roman" w:cs="Baramond"/>
          <w:color w:val="000000"/>
        </w:rPr>
        <w:fldChar w:fldCharType="separate"/>
      </w:r>
      <w:r w:rsidRPr="001F7164">
        <w:rPr>
          <w:rFonts w:ascii="Times New Roman" w:hAnsi="Times New Roman" w:cs="Baramond"/>
          <w:color w:val="000000"/>
        </w:rPr>
        <w:t xml:space="preserve">Isard </w:t>
      </w:r>
      <w:r w:rsidRPr="001F7164">
        <w:rPr>
          <w:rFonts w:ascii="Times New Roman" w:hAnsi="Times New Roman" w:cs="Baramond"/>
          <w:i/>
          <w:color w:val="000000"/>
        </w:rPr>
        <w:t>et al</w:t>
      </w:r>
      <w:r w:rsidRPr="001F7164">
        <w:rPr>
          <w:rFonts w:ascii="Times New Roman" w:hAnsi="Times New Roman" w:cs="Baramond"/>
          <w:color w:val="000000"/>
        </w:rPr>
        <w:t>. (1998)</w:t>
      </w:r>
      <w:r w:rsidRPr="001F7164">
        <w:rPr>
          <w:rFonts w:ascii="Times New Roman" w:hAnsi="Times New Roman" w:cs="Baramond"/>
          <w:color w:val="000000"/>
        </w:rPr>
        <w:fldChar w:fldCharType="end"/>
      </w:r>
      <w:r>
        <w:rPr>
          <w:rFonts w:ascii="Times New Roman" w:hAnsi="Times New Roman"/>
          <w:color w:val="000000"/>
        </w:rPr>
        <w:t xml:space="preserve">, the inter-regional system </w:t>
      </w:r>
      <w:r w:rsidR="009F2864">
        <w:rPr>
          <w:rFonts w:ascii="Times New Roman" w:hAnsi="Times New Roman"/>
          <w:color w:val="000000"/>
        </w:rPr>
        <w:t>enables the existence of</w:t>
      </w:r>
      <w:r>
        <w:rPr>
          <w:rFonts w:ascii="Times New Roman" w:hAnsi="Times New Roman"/>
          <w:color w:val="000000"/>
        </w:rPr>
        <w:t xml:space="preserve"> spillovers, in which increases in demand in a region affect the economic performance not only of itself, but also of other locations in the country.</w:t>
      </w:r>
    </w:p>
    <w:p w14:paraId="26541792" w14:textId="5B868579" w:rsidR="001F7164" w:rsidRPr="001F7164" w:rsidRDefault="001F7164" w:rsidP="001F7164">
      <w:pPr>
        <w:autoSpaceDE w:val="0"/>
        <w:autoSpaceDN w:val="0"/>
        <w:adjustRightInd w:val="0"/>
        <w:spacing w:before="60" w:after="60" w:line="240" w:lineRule="auto"/>
        <w:ind w:firstLine="567"/>
        <w:jc w:val="both"/>
        <w:textAlignment w:val="center"/>
        <w:rPr>
          <w:rFonts w:ascii="Times New Roman" w:hAnsi="Times New Roman" w:cs="Baramond"/>
          <w:color w:val="000000"/>
        </w:rPr>
      </w:pPr>
      <w:r>
        <w:rPr>
          <w:rFonts w:ascii="Times New Roman" w:hAnsi="Times New Roman"/>
          <w:color w:val="000000"/>
        </w:rPr>
        <w:t>The main difficulty in developing an inter-regional model is the need to estimate commercial transactions between regions, which can be difficult due to the scarcity of data</w:t>
      </w:r>
      <w:r w:rsidR="009F2864">
        <w:rPr>
          <w:rFonts w:ascii="Times New Roman" w:hAnsi="Times New Roman"/>
          <w:color w:val="000000"/>
        </w:rPr>
        <w:t xml:space="preserve"> and</w:t>
      </w:r>
      <w:r>
        <w:rPr>
          <w:rFonts w:ascii="Times New Roman" w:hAnsi="Times New Roman"/>
          <w:color w:val="000000"/>
        </w:rPr>
        <w:t xml:space="preserve"> becomes exponentially more </w:t>
      </w:r>
      <w:r w:rsidR="00284ED5">
        <w:rPr>
          <w:rFonts w:ascii="Times New Roman" w:hAnsi="Times New Roman"/>
          <w:color w:val="000000"/>
        </w:rPr>
        <w:t>needed</w:t>
      </w:r>
      <w:r>
        <w:rPr>
          <w:rFonts w:ascii="Times New Roman" w:hAnsi="Times New Roman"/>
          <w:color w:val="000000"/>
        </w:rPr>
        <w:t xml:space="preserve"> as the number of considered regions increases (</w:t>
      </w:r>
      <w:r w:rsidR="00A15C46">
        <w:rPr>
          <w:rFonts w:ascii="Times New Roman" w:hAnsi="Times New Roman"/>
          <w:color w:val="000000"/>
        </w:rPr>
        <w:t>Miller</w:t>
      </w:r>
      <w:r>
        <w:rPr>
          <w:rFonts w:ascii="Times New Roman" w:hAnsi="Times New Roman"/>
          <w:color w:val="000000"/>
        </w:rPr>
        <w:t xml:space="preserve">; </w:t>
      </w:r>
      <w:r w:rsidR="00A15C46">
        <w:rPr>
          <w:rFonts w:ascii="Times New Roman" w:hAnsi="Times New Roman"/>
          <w:color w:val="000000"/>
        </w:rPr>
        <w:t>Blair</w:t>
      </w:r>
      <w:r>
        <w:rPr>
          <w:rFonts w:ascii="Times New Roman" w:hAnsi="Times New Roman"/>
          <w:color w:val="000000"/>
        </w:rPr>
        <w:t xml:space="preserve">, 2009). To mitigate this problem, this paper uses the estimated regional matrix described in </w:t>
      </w:r>
      <w:r w:rsidRPr="001F7164">
        <w:rPr>
          <w:rFonts w:ascii="Times New Roman" w:hAnsi="Times New Roman" w:cs="Baramond"/>
          <w:color w:val="000000"/>
        </w:rPr>
        <w:fldChar w:fldCharType="begin"/>
      </w:r>
      <w:r w:rsidRPr="001F7164">
        <w:rPr>
          <w:rFonts w:ascii="Times New Roman" w:hAnsi="Times New Roman" w:cs="Baramond"/>
          <w:color w:val="000000"/>
        </w:rPr>
        <w:instrText xml:space="preserve"> ADDIN ZOTERO_ITEM CSL_CITATION {"citationID":"noAA9C9N","properties":{"formattedCitation":"(OLIVEIRA, 2020)","plainCitation":"(OLIVEIRA, 2020)","dontUpdate":true,"noteIndex":0},"citationItems":[{"id":42,"uris":["http://zotero.org/users/8767809/items/VBKAAHXN",["http://zotero.org/users/8767809/items/VBKAAHXN"]],"itemData":{"id":42,"type":"thesis","abstract":"A alta carga tributária brasileira e sua complexidade tem merecido crescente atenção dos estudos \neconômicos. Diversas propostas de reforma tributária do sistema de tributos sobre o consumo de bens \ne serviços foram formuladas. A motivação principal para a mudança é a hipótese de que ele distorce a \nestrutura produtiva levando à alocação incorreta de recursos, gerando perdas de eficiência. Este \nestudo analisou os impactos econômicos nas dimensões regionais e setoriais de mudanças no sistema \nde cobrança desses impostos com o objetivo de confirmar essa hipótese. Utilizando modelo de EGC \ndinâmico com migração laboral e espacial, realizou simulações para vinte anos em cenários \ncontrafactuais à linha base da economia para obter resultados dos impactos em cada cenário sobre \nPIB, emprego e produtividade. Para alimentar o modelo, utilizou-se dados mundiais de comercio e \nestimou-se, de forma inédita, a matriz insumo-produto regional brasileira a partir dos dados da Nota \nFiscal Eletrônica. Também se estimou a matriz de fluxo migratório laboral intersetorial e inter-regional. \nOs resultados das simulações mostram que há ganhos alocativos relevantes de produção e de \nprodutividade com a mudança da sistemática tributária para um tributo único, com alíquota única \nincidente sobre o valor adicionado, quando se utiliza alíquota que garante o nível de arrecadação atual. \nUma alíquota um pouco abaixo desse valor provoca ganhos ainda maiores e a transição realizada em \ndez anos permite melhor realocação que a realizada em seis. Não há variação positiva ou negativa \nacima de 1%. Porém, há expressivos ganhos de produtividade em alguns setores e UFs. Os setores \nque mais produzem ganhos são a Indústria de transformação e a Distribuição de água e energia com \nefeitos positivos na maior parte das UFs. Os setores que mais perdem são a Agropecuária e \nHospedagem e alimentação. Dentre as UFs que mais ganham estão São Paulo, Acre e Amazonas. As \nque mais perdem são o Distrito Federal, Roraima, Amapá e Pernambuco. A maioria das UFs ganham \nem uns setores e perdem em outros, mas a maioria tem saldo positivo. Os resultados obtidos mostram \nque a mudança deve ser avaliada considerando a eficiência alocativa e não apenas a arrecadação e o \nbalanço fiscal.","event-place":"Brasília","genre":"Doutorado em Economia","language":"Português","license":"Acesso Aberto","note":"Accepted: 2020-07-01T14:29:09Z","publisher":"Universídade de Brasília","publisher-place":"Brasília","source":"repositorio.unb.br","title":"Efeitos da equalização tributária regional/setorial no Brasil: uma aplicação de equilíbrio geral dinâmico","title-short":"Efeitos da equalização tributária regional/setorial no Brasil","URL":"https://repositorio.unb.br/handle/10482/38622","author":[{"family":"Oliveira","given":"João Maria","dropping-particle":"de"}],"accessed":{"date-parts":[["2021",11,19]]},"issued":{"date-parts":[["2020"]]}}}],"schema":"https://github.com/citation-style-language/schema/raw/master/csl-citation.json"} </w:instrText>
      </w:r>
      <w:r w:rsidRPr="001F7164">
        <w:rPr>
          <w:rFonts w:ascii="Times New Roman" w:hAnsi="Times New Roman" w:cs="Baramond"/>
          <w:color w:val="000000"/>
        </w:rPr>
        <w:fldChar w:fldCharType="separate"/>
      </w:r>
      <w:r w:rsidRPr="001F7164">
        <w:rPr>
          <w:rFonts w:ascii="Times New Roman" w:hAnsi="Times New Roman" w:cs="Baramond"/>
          <w:color w:val="000000"/>
        </w:rPr>
        <w:t>Oliveira (2020)</w:t>
      </w:r>
      <w:r w:rsidRPr="001F7164">
        <w:rPr>
          <w:rFonts w:ascii="Times New Roman" w:hAnsi="Times New Roman" w:cs="Baramond"/>
          <w:color w:val="000000"/>
        </w:rPr>
        <w:fldChar w:fldCharType="end"/>
      </w:r>
      <w:r>
        <w:rPr>
          <w:rFonts w:ascii="Times New Roman" w:hAnsi="Times New Roman"/>
          <w:color w:val="000000"/>
        </w:rPr>
        <w:t xml:space="preserve">, calculated from a hybrid data method – i.e. </w:t>
      </w:r>
      <w:r w:rsidR="00284ED5">
        <w:rPr>
          <w:rFonts w:ascii="Times New Roman" w:hAnsi="Times New Roman"/>
          <w:color w:val="000000"/>
        </w:rPr>
        <w:t>with both census and sampled data</w:t>
      </w:r>
      <w:r>
        <w:rPr>
          <w:rFonts w:ascii="Times New Roman" w:hAnsi="Times New Roman"/>
          <w:color w:val="000000"/>
        </w:rPr>
        <w:t xml:space="preserve"> –</w:t>
      </w:r>
      <w:r w:rsidR="00284ED5">
        <w:rPr>
          <w:rFonts w:ascii="Times New Roman" w:hAnsi="Times New Roman"/>
          <w:color w:val="000000"/>
        </w:rPr>
        <w:t xml:space="preserve"> </w:t>
      </w:r>
      <w:r>
        <w:rPr>
          <w:rFonts w:ascii="Times New Roman" w:hAnsi="Times New Roman"/>
          <w:color w:val="000000"/>
        </w:rPr>
        <w:t>using data from the electronic invoice (Nota Fiscal Eletrônica - NFe) for the 27 Federation Units (</w:t>
      </w:r>
      <w:r w:rsidRPr="00284ED5">
        <w:rPr>
          <w:rFonts w:ascii="Times New Roman" w:hAnsi="Times New Roman"/>
          <w:i/>
          <w:iCs/>
          <w:color w:val="000000"/>
        </w:rPr>
        <w:t>Unidades da Federação</w:t>
      </w:r>
      <w:r>
        <w:rPr>
          <w:rFonts w:ascii="Times New Roman" w:hAnsi="Times New Roman"/>
          <w:color w:val="000000"/>
        </w:rPr>
        <w:t xml:space="preserve"> - UFs), 128 products and 68 sectors in 2013.</w:t>
      </w:r>
    </w:p>
    <w:p w14:paraId="0318FB82" w14:textId="100F27FB" w:rsidR="001F7164" w:rsidRPr="001F7164" w:rsidRDefault="001F7164" w:rsidP="001F7164">
      <w:pPr>
        <w:autoSpaceDE w:val="0"/>
        <w:autoSpaceDN w:val="0"/>
        <w:adjustRightInd w:val="0"/>
        <w:spacing w:before="60" w:after="60" w:line="240" w:lineRule="auto"/>
        <w:ind w:firstLine="567"/>
        <w:jc w:val="both"/>
        <w:textAlignment w:val="center"/>
        <w:rPr>
          <w:rFonts w:ascii="Times New Roman" w:hAnsi="Times New Roman" w:cs="Baramond"/>
          <w:color w:val="000000"/>
        </w:rPr>
      </w:pPr>
      <w:r>
        <w:rPr>
          <w:rFonts w:ascii="Times New Roman" w:hAnsi="Times New Roman"/>
          <w:color w:val="000000"/>
        </w:rPr>
        <w:lastRenderedPageBreak/>
        <w:t xml:space="preserve">The methodology of </w:t>
      </w:r>
      <w:r w:rsidRPr="001F7164">
        <w:rPr>
          <w:rFonts w:ascii="Times New Roman" w:hAnsi="Times New Roman" w:cs="Baramond"/>
          <w:color w:val="000000"/>
        </w:rPr>
        <w:fldChar w:fldCharType="begin"/>
      </w:r>
      <w:r w:rsidRPr="001F7164">
        <w:rPr>
          <w:rFonts w:ascii="Times New Roman" w:hAnsi="Times New Roman" w:cs="Baramond"/>
          <w:color w:val="000000"/>
        </w:rPr>
        <w:instrText xml:space="preserve"> ADDIN ZOTERO_ITEM CSL_CITATION {"citationID":"cdgHXIR1","properties":{"formattedCitation":"(OLIVEIRA, 2020)","plainCitation":"(OLIVEIRA, 2020)","dontUpdate":true,"noteIndex":0},"citationItems":[{"id":42,"uris":["http://zotero.org/users/8767809/items/VBKAAHXN",["http://zotero.org/users/8767809/items/VBKAAHXN"]],"itemData":{"id":42,"type":"thesis","abstract":"A alta carga tributária brasileira e sua complexidade tem merecido crescente atenção dos estudos \neconômicos. Diversas propostas de reforma tributária do sistema de tributos sobre o consumo de bens \ne serviços foram formuladas. A motivação principal para a mudança é a hipótese de que ele distorce a \nestrutura produtiva levando à alocação incorreta de recursos, gerando perdas de eficiência. Este \nestudo analisou os impactos econômicos nas dimensões regionais e setoriais de mudanças no sistema \nde cobrança desses impostos com o objetivo de confirmar essa hipótese. Utilizando modelo de EGC \ndinâmico com migração laboral e espacial, realizou simulações para vinte anos em cenários \ncontrafactuais à linha base da economia para obter resultados dos impactos em cada cenário sobre \nPIB, emprego e produtividade. Para alimentar o modelo, utilizou-se dados mundiais de comercio e \nestimou-se, de forma inédita, a matriz insumo-produto regional brasileira a partir dos dados da Nota \nFiscal Eletrônica. Também se estimou a matriz de fluxo migratório laboral intersetorial e inter-regional. \nOs resultados das simulações mostram que há ganhos alocativos relevantes de produção e de \nprodutividade com a mudança da sistemática tributária para um tributo único, com alíquota única \nincidente sobre o valor adicionado, quando se utiliza alíquota que garante o nível de arrecadação atual. \nUma alíquota um pouco abaixo desse valor provoca ganhos ainda maiores e a transição realizada em \ndez anos permite melhor realocação que a realizada em seis. Não há variação positiva ou negativa \nacima de 1%. Porém, há expressivos ganhos de produtividade em alguns setores e UFs. Os setores \nque mais produzem ganhos são a Indústria de transformação e a Distribuição de água e energia com \nefeitos positivos na maior parte das UFs. Os setores que mais perdem são a Agropecuária e \nHospedagem e alimentação. Dentre as UFs que mais ganham estão São Paulo, Acre e Amazonas. As \nque mais perdem são o Distrito Federal, Roraima, Amapá e Pernambuco. A maioria das UFs ganham \nem uns setores e perdem em outros, mas a maioria tem saldo positivo. Os resultados obtidos mostram \nque a mudança deve ser avaliada considerando a eficiência alocativa e não apenas a arrecadação e o \nbalanço fiscal.","event-place":"Brasília","genre":"Doutorado em Economia","language":"Português","license":"Acesso Aberto","note":"Accepted: 2020-07-01T14:29:09Z","publisher":"Universídade de Brasília","publisher-place":"Brasília","source":"repositorio.unb.br","title":"Efeitos da equalização tributária regional/setorial no Brasil: uma aplicação de equilíbrio geral dinâmico","title-short":"Efeitos da equalização tributária regional/setorial no Brasil","URL":"https://repositorio.unb.br/handle/10482/38622","author":[{"family":"Oliveira","given":"João Maria","dropping-particle":"de"}],"accessed":{"date-parts":[["2021",11,19]]},"issued":{"date-parts":[["2020"]]}}}],"schema":"https://github.com/citation-style-language/schema/raw/master/csl-citation.json"} </w:instrText>
      </w:r>
      <w:r w:rsidRPr="001F7164">
        <w:rPr>
          <w:rFonts w:ascii="Times New Roman" w:hAnsi="Times New Roman" w:cs="Baramond"/>
          <w:color w:val="000000"/>
        </w:rPr>
        <w:fldChar w:fldCharType="separate"/>
      </w:r>
      <w:r w:rsidRPr="001F7164">
        <w:rPr>
          <w:rFonts w:ascii="Times New Roman" w:hAnsi="Times New Roman" w:cs="Baramond"/>
          <w:color w:val="000000"/>
        </w:rPr>
        <w:t>Oliveira (2020)</w:t>
      </w:r>
      <w:r w:rsidRPr="001F7164">
        <w:rPr>
          <w:rFonts w:ascii="Times New Roman" w:hAnsi="Times New Roman" w:cs="Baramond"/>
          <w:color w:val="000000"/>
        </w:rPr>
        <w:fldChar w:fldCharType="end"/>
      </w:r>
      <w:r>
        <w:rPr>
          <w:rFonts w:ascii="Times New Roman" w:hAnsi="Times New Roman"/>
          <w:color w:val="000000"/>
        </w:rPr>
        <w:t xml:space="preserve"> is an extension of the Supply and Uses Interregional Tables (SUIT) method proposed by </w:t>
      </w:r>
      <w:r w:rsidRPr="001F7164">
        <w:rPr>
          <w:rFonts w:ascii="Times New Roman" w:hAnsi="Times New Roman" w:cs="Baramond"/>
          <w:color w:val="000000"/>
        </w:rPr>
        <w:fldChar w:fldCharType="begin"/>
      </w:r>
      <w:r w:rsidRPr="001F7164">
        <w:rPr>
          <w:rFonts w:ascii="Times New Roman" w:hAnsi="Times New Roman" w:cs="Baramond"/>
          <w:color w:val="000000"/>
        </w:rPr>
        <w:instrText xml:space="preserve"> ADDIN ZOTERO_ITEM CSL_CITATION {"citationID":"IYnoLua0","properties":{"formattedCitation":"(GUILHOTO et al., 2019)","plainCitation":"(GUILHOTO et al., 2019)","dontUpdate":true,"noteIndex":0},"citationItems":[{"id":78,"uris":["http://zotero.org/users/8767809/items/KEKPARVK",["http://zotero.org/users/8767809/items/KEKPARVK"]],"itemData":{"id":78,"type":"article-journal","container-title":"Economia Aplicada","DOI":"https://doi.org/10.11606/1980-5330/ea139552","issue":"1","page":"83-112","title":"Sistema interestadual de insumo-produto do Brasil: uma aplicação do método SUIT","volume":"23","author":[{"family":"Guilhoto","given":"Joaquim José Martins"},{"family":"Júnior","given":"Carlos Alberto Gonçalves"},{"family":"Imori","given":"Denise"},{"family":"Ussami","given":"Keyi Ando"}],"issued":{"date-parts":[["2019"]]}}}],"schema":"https://github.com/citation-style-language/schema/raw/master/csl-citation.json"} </w:instrText>
      </w:r>
      <w:r w:rsidRPr="001F7164">
        <w:rPr>
          <w:rFonts w:ascii="Times New Roman" w:hAnsi="Times New Roman" w:cs="Baramond"/>
          <w:color w:val="000000"/>
        </w:rPr>
        <w:fldChar w:fldCharType="separate"/>
      </w:r>
      <w:r w:rsidRPr="001F7164">
        <w:rPr>
          <w:rFonts w:ascii="Times New Roman" w:hAnsi="Times New Roman" w:cs="Baramond"/>
          <w:color w:val="000000"/>
        </w:rPr>
        <w:t xml:space="preserve">Guilhoto </w:t>
      </w:r>
      <w:r w:rsidRPr="001F7164">
        <w:rPr>
          <w:rFonts w:ascii="Times New Roman" w:hAnsi="Times New Roman" w:cs="Baramond"/>
          <w:i/>
          <w:color w:val="000000"/>
        </w:rPr>
        <w:t>et al</w:t>
      </w:r>
      <w:r w:rsidRPr="001F7164">
        <w:rPr>
          <w:rFonts w:ascii="Times New Roman" w:hAnsi="Times New Roman" w:cs="Baramond"/>
          <w:color w:val="000000"/>
        </w:rPr>
        <w:t>. (2019)</w:t>
      </w:r>
      <w:r w:rsidRPr="001F7164">
        <w:rPr>
          <w:rFonts w:ascii="Times New Roman" w:hAnsi="Times New Roman" w:cs="Baramond"/>
          <w:color w:val="000000"/>
        </w:rPr>
        <w:fldChar w:fldCharType="end"/>
      </w:r>
      <w:r w:rsidRPr="001F7164">
        <w:rPr>
          <w:rFonts w:ascii="Times New Roman" w:hAnsi="Times New Roman" w:cs="Baramond"/>
          <w:color w:val="000000"/>
          <w:vertAlign w:val="superscript"/>
          <w:lang w:eastAsia="pt-BR"/>
        </w:rPr>
        <w:footnoteReference w:id="13"/>
      </w:r>
      <w:r>
        <w:rPr>
          <w:rFonts w:ascii="Times New Roman" w:hAnsi="Times New Roman"/>
          <w:color w:val="000000"/>
        </w:rPr>
        <w:t xml:space="preserve">, with the advantage of allowing a more accurate estimation of state transactions using NFe data. Using a combination of methods such as location quotients and RAS, as well as bottom-up and top-down approaches, SUIT guarantees consistency of regional matrices with national ones and with data from regional accounts released by IBGE, but also preserves economic </w:t>
      </w:r>
      <w:r w:rsidR="00413894">
        <w:rPr>
          <w:rFonts w:ascii="Times New Roman" w:hAnsi="Times New Roman"/>
          <w:color w:val="000000"/>
        </w:rPr>
        <w:t>features</w:t>
      </w:r>
      <w:r>
        <w:rPr>
          <w:rFonts w:ascii="Times New Roman" w:hAnsi="Times New Roman"/>
          <w:color w:val="000000"/>
        </w:rPr>
        <w:t xml:space="preserve"> of each state</w:t>
      </w:r>
      <w:r w:rsidR="00FA3895">
        <w:rPr>
          <w:rFonts w:ascii="Times New Roman" w:hAnsi="Times New Roman"/>
          <w:color w:val="000000"/>
        </w:rPr>
        <w:t xml:space="preserve"> </w:t>
      </w:r>
      <w:r w:rsidRPr="001F7164">
        <w:rPr>
          <w:rFonts w:ascii="Times New Roman" w:hAnsi="Times New Roman" w:cs="Baramond"/>
          <w:color w:val="000000"/>
        </w:rPr>
        <w:fldChar w:fldCharType="begin"/>
      </w:r>
      <w:r w:rsidRPr="001F7164">
        <w:rPr>
          <w:rFonts w:ascii="Times New Roman" w:hAnsi="Times New Roman" w:cs="Baramond"/>
          <w:color w:val="000000"/>
        </w:rPr>
        <w:instrText xml:space="preserve"> ADDIN ZOTERO_ITEM CSL_CITATION {"citationID":"GX8ST2UI","properties":{"formattedCitation":"(GUILHOTO et al., 2019)","plainCitation":"(GUILHOTO et al., 2019)","noteIndex":0},"citationItems":[{"id":78,"uris":["http://zotero.org/users/8767809/items/KEKPARVK",["http://zotero.org/users/8767809/items/KEKPARVK"]],"itemData":{"id":78,"type":"article-journal","container-title":"Economia Aplicada","DOI":"https://doi.org/10.11606/1980-5330/ea139552","issue":"1","page":"83-112","title":"Sistema interestadual de insumo-produto do Brasil: uma aplicação do método SUIT","volume":"23","author":[{"family":"Guilhoto","given":"Joaquim José Martins"},{"family":"Júnior","given":"Carlos Alberto Gonçalves"},{"family":"Imori","given":"Denise"},{"family":"Ussami","given":"Keyi Ando"}],"issued":{"date-parts":[["2019"]]}}}],"schema":"https://github.com/citation-style-language/schema/raw/master/csl-citation.json"} </w:instrText>
      </w:r>
      <w:r w:rsidRPr="001F7164">
        <w:rPr>
          <w:rFonts w:ascii="Times New Roman" w:hAnsi="Times New Roman" w:cs="Baramond"/>
          <w:color w:val="000000"/>
        </w:rPr>
        <w:fldChar w:fldCharType="separate"/>
      </w:r>
      <w:r w:rsidRPr="001F7164">
        <w:rPr>
          <w:rFonts w:ascii="Times New Roman" w:hAnsi="Times New Roman" w:cs="Baramond"/>
          <w:color w:val="000000"/>
        </w:rPr>
        <w:t>(</w:t>
      </w:r>
      <w:r w:rsidR="00413894">
        <w:rPr>
          <w:rFonts w:ascii="Times New Roman" w:hAnsi="Times New Roman" w:cs="Baramond"/>
          <w:color w:val="000000"/>
        </w:rPr>
        <w:t>Guilhoto</w:t>
      </w:r>
      <w:r w:rsidRPr="001F7164">
        <w:rPr>
          <w:rFonts w:ascii="Times New Roman" w:hAnsi="Times New Roman" w:cs="Baramond"/>
          <w:color w:val="000000"/>
        </w:rPr>
        <w:t xml:space="preserve"> </w:t>
      </w:r>
      <w:r w:rsidRPr="001F7164">
        <w:rPr>
          <w:rFonts w:ascii="Times New Roman" w:hAnsi="Times New Roman" w:cs="Baramond"/>
          <w:i/>
          <w:color w:val="000000"/>
        </w:rPr>
        <w:t>et al</w:t>
      </w:r>
      <w:r w:rsidRPr="001F7164">
        <w:rPr>
          <w:rFonts w:ascii="Times New Roman" w:hAnsi="Times New Roman" w:cs="Baramond"/>
          <w:color w:val="000000"/>
        </w:rPr>
        <w:t>., 2019)</w:t>
      </w:r>
      <w:r w:rsidRPr="001F7164">
        <w:rPr>
          <w:rFonts w:ascii="Times New Roman" w:hAnsi="Times New Roman" w:cs="Baramond"/>
          <w:color w:val="000000"/>
        </w:rPr>
        <w:fldChar w:fldCharType="end"/>
      </w:r>
      <w:r>
        <w:rPr>
          <w:rFonts w:ascii="Times New Roman" w:hAnsi="Times New Roman"/>
          <w:color w:val="000000"/>
        </w:rPr>
        <w:t>.</w:t>
      </w:r>
    </w:p>
    <w:p w14:paraId="707557EE" w14:textId="4755CBC0" w:rsidR="001F7164" w:rsidRDefault="001F7164" w:rsidP="001F7164">
      <w:pPr>
        <w:autoSpaceDE w:val="0"/>
        <w:autoSpaceDN w:val="0"/>
        <w:adjustRightInd w:val="0"/>
        <w:spacing w:before="60" w:after="60" w:line="240" w:lineRule="auto"/>
        <w:ind w:firstLine="567"/>
        <w:jc w:val="both"/>
        <w:textAlignment w:val="center"/>
        <w:rPr>
          <w:rFonts w:ascii="Times New Roman" w:hAnsi="Times New Roman" w:cs="Baramond"/>
          <w:color w:val="000000"/>
        </w:rPr>
      </w:pPr>
      <w:r>
        <w:rPr>
          <w:rFonts w:ascii="Times New Roman" w:hAnsi="Times New Roman"/>
          <w:color w:val="000000"/>
        </w:rPr>
        <w:t xml:space="preserve">Understanding this heterogeneity across regions is fundamental to the best design of public policies, since the allocation of resources has different effects depending on where they are invested. In the energy context, quantifying the magnitude and heterogeneity of these effects is crucial because investments in different locations have different economic consequences depending on where the sector's inputs come from and where the energy is sold. The strategy for doing </w:t>
      </w:r>
      <w:r w:rsidR="008A344B">
        <w:rPr>
          <w:rFonts w:ascii="Times New Roman" w:hAnsi="Times New Roman"/>
          <w:color w:val="000000"/>
        </w:rPr>
        <w:t>so</w:t>
      </w:r>
      <w:r>
        <w:rPr>
          <w:rFonts w:ascii="Times New Roman" w:hAnsi="Times New Roman"/>
          <w:color w:val="000000"/>
        </w:rPr>
        <w:t xml:space="preserve"> is described in more detail in Section 5.</w:t>
      </w:r>
    </w:p>
    <w:p w14:paraId="79DB2535" w14:textId="77777777" w:rsidR="008006B6" w:rsidRPr="001F7164" w:rsidRDefault="008006B6" w:rsidP="001F7164">
      <w:pPr>
        <w:autoSpaceDE w:val="0"/>
        <w:autoSpaceDN w:val="0"/>
        <w:adjustRightInd w:val="0"/>
        <w:spacing w:before="60" w:after="60" w:line="240" w:lineRule="auto"/>
        <w:ind w:firstLine="567"/>
        <w:jc w:val="both"/>
        <w:textAlignment w:val="center"/>
        <w:rPr>
          <w:rFonts w:ascii="Times New Roman" w:hAnsi="Times New Roman" w:cs="Baramond"/>
          <w:color w:val="000000"/>
          <w:lang w:eastAsia="pt-BR"/>
        </w:rPr>
      </w:pPr>
    </w:p>
    <w:p w14:paraId="371B3B76" w14:textId="3E4C62B1" w:rsidR="008006B6" w:rsidRPr="008006B6" w:rsidRDefault="008006B6" w:rsidP="008006B6">
      <w:pPr>
        <w:autoSpaceDE w:val="0"/>
        <w:autoSpaceDN w:val="0"/>
        <w:adjustRightInd w:val="0"/>
        <w:spacing w:after="0" w:line="260" w:lineRule="atLeast"/>
        <w:jc w:val="both"/>
        <w:textAlignment w:val="center"/>
        <w:outlineLvl w:val="0"/>
        <w:rPr>
          <w:rFonts w:ascii="Tahoma" w:hAnsi="Tahoma" w:cs="Tahoma"/>
          <w:b/>
          <w:color w:val="000000"/>
          <w:spacing w:val="2"/>
        </w:rPr>
      </w:pPr>
      <w:r>
        <w:rPr>
          <w:rFonts w:ascii="Tahoma" w:hAnsi="Tahoma"/>
          <w:b/>
          <w:color w:val="000000"/>
        </w:rPr>
        <w:t xml:space="preserve">4. National Analysis </w:t>
      </w:r>
    </w:p>
    <w:p w14:paraId="2AC4DE3B" w14:textId="77777777" w:rsidR="008006B6" w:rsidRPr="008006B6" w:rsidRDefault="008006B6" w:rsidP="008006B6">
      <w:pPr>
        <w:autoSpaceDE w:val="0"/>
        <w:autoSpaceDN w:val="0"/>
        <w:adjustRightInd w:val="0"/>
        <w:spacing w:before="60" w:after="60" w:line="240" w:lineRule="auto"/>
        <w:ind w:firstLine="567"/>
        <w:jc w:val="both"/>
        <w:textAlignment w:val="center"/>
        <w:rPr>
          <w:rFonts w:ascii="Times New Roman" w:hAnsi="Times New Roman" w:cs="Baramond"/>
          <w:color w:val="000000"/>
          <w:lang w:eastAsia="pt-BR"/>
        </w:rPr>
      </w:pPr>
    </w:p>
    <w:p w14:paraId="38E2082A" w14:textId="1858F958" w:rsidR="008006B6" w:rsidRDefault="008006B6" w:rsidP="00795B76">
      <w:pPr>
        <w:autoSpaceDE w:val="0"/>
        <w:autoSpaceDN w:val="0"/>
        <w:adjustRightInd w:val="0"/>
        <w:spacing w:before="60" w:after="60" w:line="240" w:lineRule="auto"/>
        <w:ind w:firstLine="567"/>
        <w:jc w:val="both"/>
        <w:textAlignment w:val="center"/>
        <w:rPr>
          <w:rFonts w:ascii="Times New Roman" w:hAnsi="Times New Roman" w:cs="Baramond"/>
        </w:rPr>
      </w:pPr>
      <w:r>
        <w:rPr>
          <w:rFonts w:ascii="Times New Roman" w:hAnsi="Times New Roman"/>
          <w:color w:val="000000"/>
        </w:rPr>
        <w:t xml:space="preserve">This section presents the analysis of the indicators constructed based on the national IOTs estimated for the years 2010 to 2019. The graphs highlight the years 2010, 2013, 2016 and 2019. </w:t>
      </w:r>
      <w:r>
        <w:rPr>
          <w:rFonts w:ascii="Times New Roman" w:hAnsi="Times New Roman"/>
        </w:rPr>
        <w:t xml:space="preserve">The section is divided into two parts: </w:t>
      </w:r>
      <w:r w:rsidR="00143A44" w:rsidRPr="00143A44">
        <w:rPr>
          <w:rFonts w:ascii="Times New Roman" w:hAnsi="Times New Roman"/>
          <w:i/>
          <w:iCs/>
        </w:rPr>
        <w:t>(</w:t>
      </w:r>
      <w:r w:rsidRPr="00143A44">
        <w:rPr>
          <w:rFonts w:ascii="Times New Roman" w:hAnsi="Times New Roman"/>
          <w:i/>
          <w:iCs/>
        </w:rPr>
        <w:t>i)</w:t>
      </w:r>
      <w:r>
        <w:rPr>
          <w:rFonts w:ascii="Times New Roman" w:hAnsi="Times New Roman"/>
        </w:rPr>
        <w:t xml:space="preserve"> the impact analysis, which deals with the production multipliers; and </w:t>
      </w:r>
      <w:r w:rsidR="00143A44" w:rsidRPr="00143A44">
        <w:rPr>
          <w:rFonts w:ascii="Times New Roman" w:hAnsi="Times New Roman"/>
          <w:i/>
          <w:iCs/>
        </w:rPr>
        <w:t>(</w:t>
      </w:r>
      <w:r w:rsidRPr="00143A44">
        <w:rPr>
          <w:rFonts w:ascii="Times New Roman" w:hAnsi="Times New Roman"/>
          <w:i/>
          <w:iCs/>
        </w:rPr>
        <w:t>ii)</w:t>
      </w:r>
      <w:r>
        <w:rPr>
          <w:rFonts w:ascii="Times New Roman" w:hAnsi="Times New Roman"/>
        </w:rPr>
        <w:t xml:space="preserve"> the structure analysis, which shows the traditional and pure linkage </w:t>
      </w:r>
      <w:r w:rsidR="004539EE">
        <w:rPr>
          <w:rFonts w:ascii="Times New Roman" w:hAnsi="Times New Roman"/>
        </w:rPr>
        <w:t>indexes</w:t>
      </w:r>
      <w:r>
        <w:rPr>
          <w:rFonts w:ascii="Times New Roman" w:hAnsi="Times New Roman"/>
        </w:rPr>
        <w:t>, the coefficients of variation and the field of influence.</w:t>
      </w:r>
    </w:p>
    <w:p w14:paraId="525FF532" w14:textId="77777777" w:rsidR="008006B6" w:rsidRPr="008006B6" w:rsidRDefault="008006B6" w:rsidP="008006B6">
      <w:pPr>
        <w:autoSpaceDE w:val="0"/>
        <w:autoSpaceDN w:val="0"/>
        <w:adjustRightInd w:val="0"/>
        <w:spacing w:after="0" w:line="240" w:lineRule="auto"/>
        <w:ind w:firstLine="567"/>
        <w:jc w:val="both"/>
        <w:textAlignment w:val="center"/>
        <w:rPr>
          <w:rFonts w:ascii="Times New Roman" w:hAnsi="Times New Roman"/>
          <w:color w:val="000000"/>
          <w:spacing w:val="2"/>
          <w:lang w:eastAsia="pt-BR"/>
        </w:rPr>
      </w:pPr>
    </w:p>
    <w:p w14:paraId="464E5302" w14:textId="7F769666" w:rsidR="008006B6" w:rsidRPr="008006B6" w:rsidRDefault="008006B6" w:rsidP="008006B6">
      <w:pPr>
        <w:tabs>
          <w:tab w:val="center" w:pos="4800"/>
          <w:tab w:val="right" w:pos="9500"/>
        </w:tabs>
        <w:spacing w:after="0" w:line="260" w:lineRule="atLeast"/>
        <w:outlineLvl w:val="1"/>
        <w:rPr>
          <w:rFonts w:ascii="Tahoma" w:eastAsia="Times New Roman" w:hAnsi="Tahoma" w:cs="Tahoma"/>
          <w:b/>
        </w:rPr>
      </w:pPr>
      <w:r>
        <w:rPr>
          <w:rFonts w:ascii="Tahoma" w:hAnsi="Tahoma"/>
          <w:b/>
        </w:rPr>
        <w:t>4.1. Impact Analysis</w:t>
      </w:r>
    </w:p>
    <w:p w14:paraId="45D35762" w14:textId="77777777" w:rsidR="008006B6" w:rsidRPr="008006B6" w:rsidRDefault="008006B6" w:rsidP="008006B6">
      <w:pPr>
        <w:autoSpaceDE w:val="0"/>
        <w:autoSpaceDN w:val="0"/>
        <w:adjustRightInd w:val="0"/>
        <w:spacing w:after="0" w:line="260" w:lineRule="atLeast"/>
        <w:jc w:val="both"/>
        <w:textAlignment w:val="center"/>
        <w:rPr>
          <w:rFonts w:ascii="Tahoma" w:hAnsi="Tahoma" w:cs="Tahoma"/>
          <w:b/>
          <w:color w:val="000000"/>
          <w:spacing w:val="2"/>
          <w:sz w:val="20"/>
          <w:szCs w:val="20"/>
          <w:lang w:eastAsia="pt-BR"/>
        </w:rPr>
      </w:pPr>
    </w:p>
    <w:p w14:paraId="57CC1468" w14:textId="7E2D431A" w:rsidR="008006B6" w:rsidRPr="008006B6" w:rsidRDefault="008006B6" w:rsidP="008006B6">
      <w:pPr>
        <w:autoSpaceDE w:val="0"/>
        <w:autoSpaceDN w:val="0"/>
        <w:adjustRightInd w:val="0"/>
        <w:spacing w:before="60" w:after="60" w:line="240" w:lineRule="auto"/>
        <w:ind w:firstLine="567"/>
        <w:jc w:val="both"/>
        <w:textAlignment w:val="center"/>
        <w:rPr>
          <w:rFonts w:ascii="Times New Roman" w:hAnsi="Times New Roman" w:cs="Baramond"/>
          <w:color w:val="000000"/>
        </w:rPr>
      </w:pPr>
      <w:r>
        <w:rPr>
          <w:rFonts w:ascii="Times New Roman" w:hAnsi="Times New Roman"/>
          <w:color w:val="000000"/>
        </w:rPr>
        <w:t xml:space="preserve">The analysis of the simple </w:t>
      </w:r>
      <w:r>
        <w:rPr>
          <w:rFonts w:ascii="Times New Roman" w:hAnsi="Times New Roman"/>
          <w:color w:val="000000" w:themeColor="text1"/>
        </w:rPr>
        <w:t xml:space="preserve">production multiplier, which measures the direct and indirect effect of a unit increase in the final demand of each sector on the marginal production of other economic activities, confirms the analyzes carried out in Figure 2 and shows how the impact of the electricity sector goes </w:t>
      </w:r>
      <w:r>
        <w:rPr>
          <w:rFonts w:ascii="Times New Roman" w:hAnsi="Times New Roman"/>
          <w:color w:val="000000"/>
        </w:rPr>
        <w:t xml:space="preserve">hand in hand with the Brazilian economy. </w:t>
      </w:r>
    </w:p>
    <w:p w14:paraId="4B37B066" w14:textId="77777777" w:rsidR="008006B6" w:rsidRDefault="008006B6" w:rsidP="008006B6">
      <w:pPr>
        <w:autoSpaceDE w:val="0"/>
        <w:autoSpaceDN w:val="0"/>
        <w:adjustRightInd w:val="0"/>
        <w:spacing w:before="60" w:after="60" w:line="240" w:lineRule="auto"/>
        <w:ind w:firstLine="567"/>
        <w:jc w:val="both"/>
        <w:textAlignment w:val="center"/>
        <w:rPr>
          <w:rFonts w:ascii="Times New Roman" w:hAnsi="Times New Roman"/>
          <w:color w:val="000000"/>
        </w:rPr>
      </w:pPr>
      <w:r>
        <w:rPr>
          <w:rFonts w:ascii="Times New Roman" w:hAnsi="Times New Roman"/>
          <w:color w:val="000000"/>
        </w:rPr>
        <w:t>The results are shown in Figure 3, where the sectors are placed on the vertical axis and the multiplier on the horizontal axis. Each of the four panels represents a year analyzed (2010, 2013, 2016 and 2019); the dotted lines, in turn, were used to facilitate comparisons between the 25 activities and refer to the highest value observed for that year (gray dashed line) and the value of the electricity sector (in black).</w:t>
      </w:r>
    </w:p>
    <w:p w14:paraId="264D0296" w14:textId="77777777" w:rsidR="00143A44" w:rsidRPr="008006B6" w:rsidRDefault="00143A44" w:rsidP="008006B6">
      <w:pPr>
        <w:autoSpaceDE w:val="0"/>
        <w:autoSpaceDN w:val="0"/>
        <w:adjustRightInd w:val="0"/>
        <w:spacing w:before="60" w:after="60" w:line="240" w:lineRule="auto"/>
        <w:ind w:firstLine="567"/>
        <w:jc w:val="both"/>
        <w:textAlignment w:val="center"/>
        <w:rPr>
          <w:rFonts w:ascii="Times New Roman" w:hAnsi="Times New Roman" w:cs="Baramond"/>
          <w:color w:val="000000"/>
        </w:rPr>
      </w:pPr>
    </w:p>
    <w:p w14:paraId="306A9CDA" w14:textId="77777777" w:rsidR="004E3D23" w:rsidRDefault="004E3D23" w:rsidP="004E3D23">
      <w:pPr>
        <w:pStyle w:val="Corpodetexto"/>
      </w:pPr>
    </w:p>
    <w:p w14:paraId="05101756" w14:textId="065962C5" w:rsidR="004E3D23" w:rsidRPr="002252AD" w:rsidRDefault="004E3D23" w:rsidP="004E3D23">
      <w:pPr>
        <w:pStyle w:val="Grfico"/>
      </w:pPr>
      <w:r>
        <w:lastRenderedPageBreak/>
        <w:t>Figure 3: Simple Production Multiplier</w:t>
      </w:r>
    </w:p>
    <w:p w14:paraId="0EBA0508" w14:textId="50CB8046" w:rsidR="00887214" w:rsidRDefault="008B2405" w:rsidP="0012324D">
      <w:pPr>
        <w:pStyle w:val="TABELAFIGURA"/>
      </w:pPr>
      <w:r>
        <w:rPr>
          <w:noProof/>
        </w:rPr>
        <w:drawing>
          <wp:inline distT="0" distB="0" distL="0" distR="0" wp14:anchorId="2A04EDD3" wp14:editId="2F220B19">
            <wp:extent cx="5040630" cy="3360420"/>
            <wp:effectExtent l="0" t="0" r="1270" b="5080"/>
            <wp:docPr id="1331764385"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1764385" name="Imagem 1331764385"/>
                    <pic:cNvPicPr/>
                  </pic:nvPicPr>
                  <pic:blipFill>
                    <a:blip r:embed="rId14"/>
                    <a:stretch>
                      <a:fillRect/>
                    </a:stretch>
                  </pic:blipFill>
                  <pic:spPr>
                    <a:xfrm>
                      <a:off x="0" y="0"/>
                      <a:ext cx="5040630" cy="3360420"/>
                    </a:xfrm>
                    <a:prstGeom prst="rect">
                      <a:avLst/>
                    </a:prstGeom>
                  </pic:spPr>
                </pic:pic>
              </a:graphicData>
            </a:graphic>
          </wp:inline>
        </w:drawing>
      </w:r>
    </w:p>
    <w:p w14:paraId="21765480" w14:textId="77777777" w:rsidR="00881AE9" w:rsidRDefault="00881AE9" w:rsidP="00881AE9">
      <w:pPr>
        <w:pStyle w:val="CORPO"/>
        <w:ind w:firstLine="0"/>
        <w:jc w:val="center"/>
        <w:rPr>
          <w:rFonts w:ascii="Times New Roman" w:hAnsi="Times New Roman"/>
          <w:sz w:val="18"/>
        </w:rPr>
      </w:pPr>
      <w:r>
        <w:rPr>
          <w:rFonts w:ascii="Times New Roman" w:hAnsi="Times New Roman"/>
          <w:sz w:val="18"/>
        </w:rPr>
        <w:t>Source: Original work based on estimated IOTs.</w:t>
      </w:r>
    </w:p>
    <w:p w14:paraId="70F05B8E" w14:textId="77777777" w:rsidR="003255F2" w:rsidRDefault="003255F2" w:rsidP="00881AE9">
      <w:pPr>
        <w:pStyle w:val="CORPO"/>
        <w:ind w:firstLine="0"/>
        <w:jc w:val="center"/>
        <w:rPr>
          <w:rFonts w:ascii="Times New Roman" w:hAnsi="Times New Roman" w:cs="Times New Roman"/>
          <w:sz w:val="18"/>
          <w:szCs w:val="18"/>
        </w:rPr>
      </w:pPr>
    </w:p>
    <w:p w14:paraId="2316B8FD" w14:textId="6A8913AB" w:rsidR="00D400B7" w:rsidRPr="00D400B7" w:rsidRDefault="00D400B7" w:rsidP="00D400B7">
      <w:pPr>
        <w:pStyle w:val="Corpodetexto"/>
        <w:rPr>
          <w:color w:val="000000" w:themeColor="text1"/>
        </w:rPr>
      </w:pPr>
      <w:r>
        <w:t>As shown in the graph</w:t>
      </w:r>
      <w:r w:rsidR="003255F2">
        <w:t>,</w:t>
      </w:r>
      <w:r>
        <w:t xml:space="preserve"> there was a significant expansion in the value of the electricity sector multiplier between 2010 and 2013 – reaching a peak of 2.27 in 2014, the year </w:t>
      </w:r>
      <w:r w:rsidR="00563812">
        <w:t>prior to the onset of the economic crisis</w:t>
      </w:r>
      <w:r>
        <w:t xml:space="preserve"> –, followed </w:t>
      </w:r>
      <w:r>
        <w:rPr>
          <w:color w:val="000000" w:themeColor="text1"/>
        </w:rPr>
        <w:t xml:space="preserve">by a drop of 16% between 2014 and 2016 and relative stagnation until 2019. Thus, the results of the input-output approach are in accordance with the intimate relationship between economic activity and electricity generation, which is well documented econometrically in Brazil </w:t>
      </w:r>
      <w:r w:rsidRPr="00D400B7">
        <w:rPr>
          <w:color w:val="000000" w:themeColor="text1"/>
        </w:rPr>
        <w:fldChar w:fldCharType="begin"/>
      </w:r>
      <w:r w:rsidRPr="00D400B7">
        <w:rPr>
          <w:color w:val="000000" w:themeColor="text1"/>
        </w:rPr>
        <w:instrText xml:space="preserve"> ADDIN ZOTERO_ITEM CSL_CITATION {"citationID":"Lgxnwmee","properties":{"formattedCitation":"(PAO; FU, 2013)","plainCitation":"(PAO; FU, 2013)","noteIndex":0},"citationItems":[{"id":111,"uris":["http://zotero.org/users/8767809/items/M5VNYE9A"],"itemData":{"id":111,"type":"article-journal","abstract":"This study investigates the causal relationship between clean and non-clean energy consumption and economic growth in Brazil over the period of 1980–2009. Clean energy consumption at aggregated level of total renewable energy consumption and disaggregated levels of hydroelectric, new renewables, and nuclear energy consumption are tested within a production function framework. A cointegration test reveals a long-term equilibrium relationship between real output, capital, labor, and renewable and non-renewable energy consumption at aggregated level, and a long-term equilibrium relationship between real output, capital, labor, and hydroelectric/new renewables/nuclear and fossil fuel energy consumption at disaggregated level. The capital, labor, and new renewables elasticities of real output are positive and statistically significant, other energy consumption item's elasticities are insignificant. The results from error correction model reveal the interdependencies between new renewables, nuclear, fossil fuel, and total non-renewable energy consumption and economic growth, the unidirectional causality from hydroelectric/total renewable consumption to economic growth, the substitutability between new renewables and fossil fuel consumption, and the substitutability between new renewables and nuclear energy consumption. Additionally, nuclear and new renewables energy consumption responds to bring the system back to equilibrium. Overall, aggregated analysis may obscure the relationship between different types of clean energy consumption and economic growth.","container-title":"Energy Policy","DOI":"10.1016/j.enpol.2013.06.113","ISSN":"0301-4215","journalAbbreviation":"Energy Policy","page":"793-801","source":"ScienceDirect","title":"The causal relationship between energy resources and economic growth in Brazil","volume":"61","author":[{"family":"Pao","given":"Hsiao-Tien"},{"family":"Fu","given":"Hsin-Chia"}],"issued":{"date-parts":[["2013",10,1]]}}}],"schema":"https://github.com/citation-style-language/schema/raw/master/csl-citation.json"} </w:instrText>
      </w:r>
      <w:r w:rsidRPr="00D400B7">
        <w:rPr>
          <w:color w:val="000000" w:themeColor="text1"/>
        </w:rPr>
        <w:fldChar w:fldCharType="separate"/>
      </w:r>
      <w:r w:rsidRPr="00D400B7">
        <w:rPr>
          <w:color w:val="000000" w:themeColor="text1"/>
        </w:rPr>
        <w:t>(</w:t>
      </w:r>
      <w:r w:rsidR="008B2405">
        <w:rPr>
          <w:color w:val="000000" w:themeColor="text1"/>
        </w:rPr>
        <w:t>Pao</w:t>
      </w:r>
      <w:r w:rsidRPr="00D400B7">
        <w:rPr>
          <w:color w:val="000000" w:themeColor="text1"/>
        </w:rPr>
        <w:t xml:space="preserve">; </w:t>
      </w:r>
      <w:r w:rsidR="008B2405">
        <w:rPr>
          <w:color w:val="000000" w:themeColor="text1"/>
        </w:rPr>
        <w:t>Fu</w:t>
      </w:r>
      <w:r w:rsidRPr="00D400B7">
        <w:rPr>
          <w:color w:val="000000" w:themeColor="text1"/>
        </w:rPr>
        <w:t>, 2013)</w:t>
      </w:r>
      <w:r w:rsidRPr="00D400B7">
        <w:rPr>
          <w:color w:val="000000" w:themeColor="text1"/>
        </w:rPr>
        <w:fldChar w:fldCharType="end"/>
      </w:r>
      <w:r>
        <w:rPr>
          <w:color w:val="000000" w:themeColor="text1"/>
        </w:rPr>
        <w:t xml:space="preserve"> and internationally </w:t>
      </w:r>
      <w:r w:rsidRPr="00D400B7">
        <w:rPr>
          <w:color w:val="000000" w:themeColor="text1"/>
        </w:rPr>
        <w:fldChar w:fldCharType="begin"/>
      </w:r>
      <w:r w:rsidRPr="00D400B7">
        <w:rPr>
          <w:color w:val="000000" w:themeColor="text1"/>
        </w:rPr>
        <w:instrText xml:space="preserve"> ADDIN ZOTERO_ITEM CSL_CITATION {"citationID":"jSN7GF2m","properties":{"formattedCitation":"(APERGIS; PAYNE, 2011; SARWAR; CHEN; WAHEED, 2017)","plainCitation":"(APERGIS; PAYNE, 2011; SARWAR; CHEN; WAHEED, 2017)","noteIndex":0},"citationItems":[{"id":137,"uris":["http://zotero.org/users/8767809/items/D2T8BR47"],"itemData":{"id":137,"type":"article-journal","abstract":"This study examines the relationship between electricity consumption and economic growth for 88 countries categorized into four panels based on the World Bank income classification (high, upper middle, lower middle, and low income) within a multivariate panel framework over the period 1990–2006. The Larsson et al. (2001) panel cointegration test indicates there is a long-run equilibrium relationship between real GDP, coal consumption, real gross fixed capital formation, and the labor force for the high, upper middle, and lower middle income country panels. The results from the panel vector error correction models reveal (1) bidirectional causality between electricity consumption and economic growth in both the short- and long-run for the high income and upper-middle income country panels; (2) unidirectional causality from electricity consumption to economic growth in the short-run, but bidirectional causality in the long-run for the lower-middle income country panel; and (3) unidirectional causality from electricity consumption to economic growth for the low income country panel.","container-title":"Energy Economics","DOI":"10.1016/j.eneco.2010.12.018","ISSN":"0140-9883","issue":"5","journalAbbreviation":"Energy Economics","page":"770-781","source":"ScienceDirect","title":"A dynamic panel study of economic development and the electricity consumption-growth nexus","volume":"33","author":[{"family":"Apergis","given":"Nicholas"},{"family":"Payne","given":"James"}],"issued":{"date-parts":[["2011",9,1]]}}},{"id":133,"uris":["http://zotero.org/users/8767809/items/NAYJ5GSC"],"itemData":{"id":133,"type":"article-journal","abstract":"The study uses the panel data of 210 countries over the period 1960–2014 to analyze the empirical relationship between economic growth, electricity consumption, oil price, gross fixed capital formation and population. While the current literature on the topic focus largely on relationship between oil consumption and economic growth while only a few presented the research studying relationship between electricity and economic growth, we used oil price and electricity consumption, jointly, to study the highly predictive observer for economic growth. Furthermore, the data is categorized into income, OECD, regional level, renewable energy consumption level and oil export/import countries. Pedroni panel cointegration, fully modified OLS and panel vector error correction test apply to analyze the cointegration, short run and the long run relationship between the variables. The results of full panel confirm a bidirectional relationship between electricity consumption and GDP, oil price and GDP, fixed capital formation, population and GDP. Moreover, the results confirm that countries using non-renewable sources for electricity generating, such as through coal and oil, the electricity consumption of these countries exhibit a negative relationship with the economic growth. Furthermore, the finding varies across income, OECD and regional, renewable energy consumption level.","container-title":"Renewable and Sustainable Energy Reviews","DOI":"10.1016/j.rser.2017.03.063","ISSN":"1364-0321","journalAbbreviation":"Renewable and Sustainable Energy Reviews","page":"9-18","source":"ScienceDirect","title":"Electricity consumption, oil price and economic growth: Global perspective","title-short":"Electricity consumption, oil price and economic growth","volume":"76","author":[{"family":"Sarwar","given":"Suleman"},{"family":"Chen","given":"Wei"},{"family":"Waheed","given":"Rida"}],"issued":{"date-parts":[["2017",9,1]]}}}],"schema":"https://github.com/citation-style-language/schema/raw/master/csl-citation.json"} </w:instrText>
      </w:r>
      <w:r w:rsidRPr="00D400B7">
        <w:rPr>
          <w:color w:val="000000" w:themeColor="text1"/>
        </w:rPr>
        <w:fldChar w:fldCharType="separate"/>
      </w:r>
      <w:r w:rsidRPr="00D400B7">
        <w:rPr>
          <w:color w:val="000000" w:themeColor="text1"/>
        </w:rPr>
        <w:t>(</w:t>
      </w:r>
      <w:r w:rsidR="008B2405">
        <w:rPr>
          <w:color w:val="000000" w:themeColor="text1"/>
        </w:rPr>
        <w:t>Apergis</w:t>
      </w:r>
      <w:r w:rsidRPr="00D400B7">
        <w:rPr>
          <w:color w:val="000000" w:themeColor="text1"/>
        </w:rPr>
        <w:t xml:space="preserve">; </w:t>
      </w:r>
      <w:r w:rsidR="008B2405">
        <w:rPr>
          <w:color w:val="000000" w:themeColor="text1"/>
        </w:rPr>
        <w:t>Payne</w:t>
      </w:r>
      <w:r w:rsidRPr="00D400B7">
        <w:rPr>
          <w:color w:val="000000" w:themeColor="text1"/>
        </w:rPr>
        <w:t xml:space="preserve">, 2011; </w:t>
      </w:r>
      <w:r w:rsidR="008B2405">
        <w:rPr>
          <w:color w:val="000000" w:themeColor="text1"/>
        </w:rPr>
        <w:t>Sarwar</w:t>
      </w:r>
      <w:r w:rsidRPr="00D400B7">
        <w:rPr>
          <w:color w:val="000000" w:themeColor="text1"/>
        </w:rPr>
        <w:t xml:space="preserve">; </w:t>
      </w:r>
      <w:r w:rsidR="008B2405">
        <w:rPr>
          <w:color w:val="000000" w:themeColor="text1"/>
        </w:rPr>
        <w:t>Chen</w:t>
      </w:r>
      <w:r w:rsidRPr="00D400B7">
        <w:rPr>
          <w:color w:val="000000" w:themeColor="text1"/>
        </w:rPr>
        <w:t xml:space="preserve">; </w:t>
      </w:r>
      <w:r w:rsidR="008B2405">
        <w:rPr>
          <w:color w:val="000000" w:themeColor="text1"/>
        </w:rPr>
        <w:t>Waheed</w:t>
      </w:r>
      <w:r w:rsidRPr="00D400B7">
        <w:rPr>
          <w:color w:val="000000" w:themeColor="text1"/>
        </w:rPr>
        <w:t>, 2017)</w:t>
      </w:r>
      <w:r w:rsidRPr="00D400B7">
        <w:rPr>
          <w:color w:val="000000" w:themeColor="text1"/>
        </w:rPr>
        <w:fldChar w:fldCharType="end"/>
      </w:r>
      <w:r>
        <w:rPr>
          <w:color w:val="000000" w:themeColor="text1"/>
        </w:rPr>
        <w:t>.</w:t>
      </w:r>
    </w:p>
    <w:p w14:paraId="39C391DC" w14:textId="259CE87E" w:rsidR="00D400B7" w:rsidRPr="00D400B7" w:rsidRDefault="00D400B7" w:rsidP="00D400B7">
      <w:pPr>
        <w:pStyle w:val="Corpodetexto"/>
        <w:rPr>
          <w:color w:val="000000" w:themeColor="text1"/>
        </w:rPr>
      </w:pPr>
      <w:r>
        <w:rPr>
          <w:color w:val="000000" w:themeColor="text1"/>
        </w:rPr>
        <w:t xml:space="preserve">Furthermore, apart from some subsectors that constitute the manufacturing industry (such as food and beverage </w:t>
      </w:r>
      <w:r w:rsidR="00311123">
        <w:rPr>
          <w:color w:val="000000" w:themeColor="text1"/>
        </w:rPr>
        <w:t>manufacture</w:t>
      </w:r>
      <w:r>
        <w:rPr>
          <w:color w:val="000000" w:themeColor="text1"/>
        </w:rPr>
        <w:t>, oil</w:t>
      </w:r>
      <w:r w:rsidR="00311123">
        <w:rPr>
          <w:color w:val="000000" w:themeColor="text1"/>
        </w:rPr>
        <w:t xml:space="preserve"> refining</w:t>
      </w:r>
      <w:r>
        <w:rPr>
          <w:color w:val="000000" w:themeColor="text1"/>
        </w:rPr>
        <w:t>, metallurgy</w:t>
      </w:r>
      <w:r w:rsidR="00311123">
        <w:rPr>
          <w:color w:val="000000" w:themeColor="text1"/>
        </w:rPr>
        <w:t xml:space="preserve"> and</w:t>
      </w:r>
      <w:r>
        <w:rPr>
          <w:color w:val="000000" w:themeColor="text1"/>
        </w:rPr>
        <w:t xml:space="preserve"> automobiles and parts), the electrical sector presents one of the largest multipliers in the years analyzed, above the average of the economy, especially after 2010. Therefore, it is interesting to analyze how this industry is linked to the rest of the economy to identify if electricity is demand intensive, supply intensive, or both.</w:t>
      </w:r>
    </w:p>
    <w:p w14:paraId="6CCA8F4D" w14:textId="77777777" w:rsidR="00FF7F02" w:rsidRDefault="00FF7F02" w:rsidP="0019023C">
      <w:pPr>
        <w:pStyle w:val="TABELAFIGURA"/>
        <w:jc w:val="left"/>
      </w:pPr>
    </w:p>
    <w:p w14:paraId="3F730C7A" w14:textId="77777777" w:rsidR="008B2405" w:rsidRDefault="008B2405" w:rsidP="0019023C">
      <w:pPr>
        <w:pStyle w:val="TABELAFIGURA"/>
        <w:jc w:val="left"/>
      </w:pPr>
    </w:p>
    <w:p w14:paraId="60C2BB75" w14:textId="6D518682" w:rsidR="0058122B" w:rsidRPr="0058122B" w:rsidRDefault="0058122B" w:rsidP="0058122B">
      <w:pPr>
        <w:tabs>
          <w:tab w:val="center" w:pos="4800"/>
          <w:tab w:val="right" w:pos="9500"/>
        </w:tabs>
        <w:spacing w:after="0" w:line="260" w:lineRule="atLeast"/>
        <w:outlineLvl w:val="1"/>
        <w:rPr>
          <w:rFonts w:ascii="Tahoma" w:hAnsi="Tahoma" w:cs="Tahoma"/>
          <w:b/>
        </w:rPr>
      </w:pPr>
      <w:r>
        <w:rPr>
          <w:rFonts w:ascii="Tahoma" w:hAnsi="Tahoma"/>
          <w:b/>
        </w:rPr>
        <w:lastRenderedPageBreak/>
        <w:t xml:space="preserve">4.2. </w:t>
      </w:r>
      <w:bookmarkStart w:id="2" w:name="_Toc89442505"/>
      <w:r>
        <w:rPr>
          <w:rFonts w:ascii="Tahoma" w:hAnsi="Tahoma"/>
          <w:b/>
        </w:rPr>
        <w:t>Structure Analysis</w:t>
      </w:r>
      <w:bookmarkEnd w:id="2"/>
    </w:p>
    <w:p w14:paraId="299E6DBE" w14:textId="77777777" w:rsidR="0058122B" w:rsidRPr="0058122B" w:rsidRDefault="0058122B" w:rsidP="0058122B">
      <w:pPr>
        <w:tabs>
          <w:tab w:val="center" w:pos="4800"/>
          <w:tab w:val="right" w:pos="9500"/>
        </w:tabs>
        <w:spacing w:after="0" w:line="260" w:lineRule="atLeast"/>
        <w:rPr>
          <w:rFonts w:ascii="Tahoma" w:eastAsia="Times New Roman" w:hAnsi="Tahoma" w:cs="Tahoma"/>
          <w:b/>
          <w:lang w:eastAsia="pt-BR"/>
        </w:rPr>
      </w:pPr>
    </w:p>
    <w:p w14:paraId="3DE4DDA0" w14:textId="627A2178" w:rsidR="0058122B" w:rsidRPr="0058122B" w:rsidRDefault="0058122B" w:rsidP="0058122B">
      <w:pPr>
        <w:tabs>
          <w:tab w:val="center" w:pos="4800"/>
          <w:tab w:val="right" w:pos="9500"/>
        </w:tabs>
        <w:spacing w:after="0" w:line="260" w:lineRule="atLeast"/>
        <w:outlineLvl w:val="2"/>
        <w:rPr>
          <w:rFonts w:ascii="Baramond" w:eastAsia="Times New Roman" w:hAnsi="Baramond" w:cs="Baramond"/>
          <w:b/>
          <w:color w:val="000000"/>
        </w:rPr>
      </w:pPr>
      <w:r>
        <w:rPr>
          <w:rFonts w:ascii="Tahoma" w:hAnsi="Tahoma"/>
          <w:b/>
        </w:rPr>
        <w:t xml:space="preserve">4.2.1. Linkage </w:t>
      </w:r>
      <w:r w:rsidR="004539EE">
        <w:rPr>
          <w:rFonts w:ascii="Tahoma" w:hAnsi="Tahoma"/>
          <w:b/>
        </w:rPr>
        <w:t>Indexes</w:t>
      </w:r>
      <w:r>
        <w:rPr>
          <w:rFonts w:ascii="Tahoma" w:hAnsi="Tahoma"/>
          <w:b/>
        </w:rPr>
        <w:t xml:space="preserve"> and </w:t>
      </w:r>
      <w:r w:rsidR="00FA3895">
        <w:rPr>
          <w:rFonts w:ascii="Tahoma" w:hAnsi="Tahoma"/>
          <w:b/>
        </w:rPr>
        <w:t>Coefficients</w:t>
      </w:r>
      <w:r>
        <w:rPr>
          <w:rFonts w:ascii="Tahoma" w:hAnsi="Tahoma"/>
          <w:b/>
        </w:rPr>
        <w:t xml:space="preserve"> of Variation</w:t>
      </w:r>
    </w:p>
    <w:p w14:paraId="10172788" w14:textId="77777777" w:rsidR="0058122B" w:rsidRPr="0058122B" w:rsidRDefault="0058122B" w:rsidP="0058122B">
      <w:pPr>
        <w:autoSpaceDE w:val="0"/>
        <w:autoSpaceDN w:val="0"/>
        <w:adjustRightInd w:val="0"/>
        <w:spacing w:before="60" w:after="60" w:line="240" w:lineRule="auto"/>
        <w:ind w:firstLine="567"/>
        <w:jc w:val="both"/>
        <w:textAlignment w:val="center"/>
        <w:rPr>
          <w:rFonts w:ascii="Times New Roman" w:hAnsi="Times New Roman" w:cs="Baramond"/>
          <w:color w:val="000000"/>
          <w:lang w:eastAsia="pt-BR"/>
        </w:rPr>
      </w:pPr>
    </w:p>
    <w:p w14:paraId="63544F2A" w14:textId="1F1E2ADF" w:rsidR="0058122B" w:rsidRPr="0058122B" w:rsidRDefault="0058122B" w:rsidP="0058122B">
      <w:pPr>
        <w:autoSpaceDE w:val="0"/>
        <w:autoSpaceDN w:val="0"/>
        <w:adjustRightInd w:val="0"/>
        <w:spacing w:before="60" w:after="60" w:line="240" w:lineRule="auto"/>
        <w:ind w:firstLine="567"/>
        <w:jc w:val="both"/>
        <w:textAlignment w:val="center"/>
        <w:rPr>
          <w:rFonts w:ascii="Times New Roman" w:hAnsi="Times New Roman" w:cs="Baramond"/>
          <w:color w:val="000000" w:themeColor="text1"/>
        </w:rPr>
      </w:pPr>
      <w:r>
        <w:rPr>
          <w:rFonts w:ascii="Times New Roman" w:hAnsi="Times New Roman"/>
          <w:color w:val="000000"/>
        </w:rPr>
        <w:t xml:space="preserve">Figures 4 and 5 show the evolution of the forward and backward </w:t>
      </w:r>
      <w:r w:rsidR="004539EE">
        <w:rPr>
          <w:rFonts w:ascii="Times New Roman" w:hAnsi="Times New Roman"/>
          <w:color w:val="000000"/>
        </w:rPr>
        <w:t>indexes</w:t>
      </w:r>
      <w:r>
        <w:rPr>
          <w:rFonts w:ascii="Times New Roman" w:hAnsi="Times New Roman"/>
          <w:color w:val="000000"/>
        </w:rPr>
        <w:t xml:space="preserve"> of the electricity sector over the decade. </w:t>
      </w:r>
      <w:r>
        <w:rPr>
          <w:rFonts w:ascii="Times New Roman" w:hAnsi="Times New Roman"/>
        </w:rPr>
        <w:t xml:space="preserve">Since 2011, the electricity sector has been considered a key activity with above-average impacts on both supply and demand (forward and backward </w:t>
      </w:r>
      <w:r w:rsidR="004539EE">
        <w:rPr>
          <w:rFonts w:ascii="Times New Roman" w:hAnsi="Times New Roman"/>
        </w:rPr>
        <w:t>indexes</w:t>
      </w:r>
      <w:r>
        <w:rPr>
          <w:rFonts w:ascii="Times New Roman" w:hAnsi="Times New Roman"/>
        </w:rPr>
        <w:t xml:space="preserve"> greater than 1), confirming the results found in the 2011 analysis of </w:t>
      </w:r>
      <w:r w:rsidRPr="0058122B">
        <w:rPr>
          <w:rFonts w:ascii="Times New Roman" w:hAnsi="Times New Roman" w:cs="Baramond"/>
          <w:color w:val="000000" w:themeColor="text1"/>
        </w:rPr>
        <w:fldChar w:fldCharType="begin"/>
      </w:r>
      <w:r w:rsidRPr="0058122B">
        <w:rPr>
          <w:rFonts w:ascii="Times New Roman" w:hAnsi="Times New Roman" w:cs="Baramond"/>
          <w:color w:val="000000" w:themeColor="text1"/>
        </w:rPr>
        <w:instrText xml:space="preserve"> ADDIN ZOTERO_ITEM CSL_CITATION {"citationID":"HDyJi3Sc","properties":{"formattedCitation":"(BERTUSSI; TAKASAGO; GUILHOTO, 2020)","plainCitation":"(BERTUSSI; TAKASAGO; GUILHOTO, 2020)","dontUpdate":true,"noteIndex":11},"citationItems":[{"id":106,"uris":["http://zotero.org/users/8767809/items/5BV3BXZT"],"itemData":{"id":106,"type":"article-journal","abstract":"In view of the need to expand investments in the country, in the current context of the Brazilian economy, and understanding the positive effects of investments in infrastructure, it is relevant to study the multiplier effects of this specific type of investment on the other sectors of the country’s economy. For this, the present study used the inputoutput matrix methodology, using data from 2011. The Rasmussen-Hirschman indices, which show the degree of linkage of the economic sectors, were calculated, considering that there is a connection both backwards and forwards. The fields of influence were also presented for each sector. The results show that the Transportation and Electricity sectors can be considered strategic for the development of the Brazilian economy.","container-title":"Análise Econômica","DOI":"10.22456/2176-5456.76395","ISSN":"2176-5456, 0102-9924","issue":"77","journalAbbreviation":"RAE","language":"pt","source":"DOI.org (Crossref)","title":"Infraestrutura Econômica no Brasil: uma análise de sua relevância sob a ótica de matriz insumo-produto.","title-short":"INFRAESTRUTURA ECONÔMICA NO BRASIL","URL":"https://seer.ufrgs.br/AnaliseEconomica/article/view/76395","volume":"38","author":[{"family":"Bertussi","given":"Geovana Lorena"},{"family":"Takasago","given":"Milene"},{"family":"Guilhoto","given":"Joaquim José Martins"}],"accessed":{"date-parts":[["2023",12,21]]},"issued":{"date-parts":[["2020",9,27]]}}}],"schema":"https://github.com/citation-style-language/schema/raw/master/csl-citation.json"} </w:instrText>
      </w:r>
      <w:r w:rsidRPr="0058122B">
        <w:rPr>
          <w:rFonts w:ascii="Times New Roman" w:hAnsi="Times New Roman" w:cs="Baramond"/>
          <w:color w:val="000000" w:themeColor="text1"/>
        </w:rPr>
        <w:fldChar w:fldCharType="separate"/>
      </w:r>
      <w:r w:rsidRPr="0058122B">
        <w:rPr>
          <w:rFonts w:ascii="Times New Roman" w:hAnsi="Times New Roman" w:cs="Baramond"/>
          <w:color w:val="000000" w:themeColor="text1"/>
        </w:rPr>
        <w:t>Bertussi, Takasago</w:t>
      </w:r>
      <w:r w:rsidR="005E365E">
        <w:rPr>
          <w:rFonts w:ascii="Times New Roman" w:hAnsi="Times New Roman" w:cs="Baramond"/>
          <w:color w:val="000000" w:themeColor="text1"/>
        </w:rPr>
        <w:t xml:space="preserve"> and </w:t>
      </w:r>
      <w:r w:rsidRPr="0058122B">
        <w:rPr>
          <w:rFonts w:ascii="Times New Roman" w:hAnsi="Times New Roman" w:cs="Baramond"/>
          <w:color w:val="000000" w:themeColor="text1"/>
        </w:rPr>
        <w:t>Guilhoto (2020)</w:t>
      </w:r>
      <w:r w:rsidRPr="0058122B">
        <w:rPr>
          <w:rFonts w:ascii="Times New Roman" w:hAnsi="Times New Roman" w:cs="Baramond"/>
          <w:color w:val="000000" w:themeColor="text1"/>
        </w:rPr>
        <w:fldChar w:fldCharType="end"/>
      </w:r>
      <w:r>
        <w:rPr>
          <w:rFonts w:ascii="Times New Roman" w:hAnsi="Times New Roman"/>
        </w:rPr>
        <w:t>.</w:t>
      </w:r>
      <w:r>
        <w:rPr>
          <w:rFonts w:ascii="Times New Roman" w:hAnsi="Times New Roman"/>
          <w:color w:val="000000" w:themeColor="text1"/>
        </w:rPr>
        <w:t xml:space="preserve"> In particular, the authors find that the electricity sector has the highest forward linkage among the 14 activities analyzed in the paper.</w:t>
      </w:r>
    </w:p>
    <w:p w14:paraId="346DF864" w14:textId="60BCE246" w:rsidR="0058122B" w:rsidRPr="0058122B" w:rsidRDefault="0058122B" w:rsidP="0058122B">
      <w:pPr>
        <w:autoSpaceDE w:val="0"/>
        <w:autoSpaceDN w:val="0"/>
        <w:adjustRightInd w:val="0"/>
        <w:spacing w:before="60" w:after="60" w:line="240" w:lineRule="auto"/>
        <w:ind w:firstLine="567"/>
        <w:jc w:val="both"/>
        <w:textAlignment w:val="center"/>
        <w:rPr>
          <w:rFonts w:ascii="Times New Roman" w:hAnsi="Times New Roman" w:cs="Baramond"/>
          <w:color w:val="000000"/>
        </w:rPr>
      </w:pPr>
      <w:r>
        <w:rPr>
          <w:rFonts w:ascii="Times New Roman" w:hAnsi="Times New Roman"/>
          <w:color w:val="000000" w:themeColor="text1"/>
        </w:rPr>
        <w:t>The activity has a greater supply-side linkage</w:t>
      </w:r>
      <w:r>
        <w:rPr>
          <w:rFonts w:ascii="Times New Roman" w:hAnsi="Times New Roman"/>
          <w:color w:val="000000"/>
        </w:rPr>
        <w:t xml:space="preserve">, indicating that its production is very important as an input for other industries. </w:t>
      </w:r>
      <w:r w:rsidR="000B22B5">
        <w:rPr>
          <w:rFonts w:ascii="Times New Roman" w:hAnsi="Times New Roman"/>
          <w:color w:val="000000"/>
        </w:rPr>
        <w:t>Like</w:t>
      </w:r>
      <w:r>
        <w:rPr>
          <w:rFonts w:ascii="Times New Roman" w:hAnsi="Times New Roman"/>
          <w:color w:val="000000"/>
        </w:rPr>
        <w:t xml:space="preserve"> the multipliers, both </w:t>
      </w:r>
      <w:r w:rsidR="004539EE">
        <w:rPr>
          <w:rFonts w:ascii="Times New Roman" w:hAnsi="Times New Roman"/>
          <w:color w:val="000000"/>
        </w:rPr>
        <w:t>indexes</w:t>
      </w:r>
      <w:r>
        <w:rPr>
          <w:rFonts w:ascii="Times New Roman" w:hAnsi="Times New Roman"/>
          <w:color w:val="000000"/>
        </w:rPr>
        <w:t xml:space="preserve"> evolve until 2014, declining during the recession. Since 2016, there has been a slight improvement, although there was a decline between 2018 and 2019.</w:t>
      </w:r>
    </w:p>
    <w:p w14:paraId="79DEF103" w14:textId="77777777" w:rsidR="0058122B" w:rsidRPr="0058122B" w:rsidRDefault="0058122B" w:rsidP="0058122B">
      <w:pPr>
        <w:autoSpaceDE w:val="0"/>
        <w:autoSpaceDN w:val="0"/>
        <w:adjustRightInd w:val="0"/>
        <w:spacing w:before="60" w:after="60" w:line="240" w:lineRule="auto"/>
        <w:jc w:val="both"/>
        <w:textAlignment w:val="center"/>
        <w:rPr>
          <w:rFonts w:ascii="Times New Roman" w:hAnsi="Times New Roman" w:cs="Baramond"/>
          <w:color w:val="000000"/>
          <w:lang w:eastAsia="pt-BR"/>
        </w:rPr>
      </w:pPr>
    </w:p>
    <w:p w14:paraId="78D0F460" w14:textId="6C831C5E" w:rsidR="0058122B" w:rsidRPr="0058122B" w:rsidRDefault="0058122B" w:rsidP="0058122B">
      <w:pPr>
        <w:autoSpaceDE w:val="0"/>
        <w:autoSpaceDN w:val="0"/>
        <w:adjustRightInd w:val="0"/>
        <w:spacing w:after="60" w:line="260" w:lineRule="atLeast"/>
        <w:jc w:val="center"/>
        <w:textAlignment w:val="center"/>
        <w:rPr>
          <w:rFonts w:ascii="Times New Roman" w:hAnsi="Times New Roman"/>
          <w:b/>
          <w:bCs/>
          <w:color w:val="000000"/>
        </w:rPr>
      </w:pPr>
      <w:r>
        <w:rPr>
          <w:rFonts w:ascii="Times New Roman" w:hAnsi="Times New Roman"/>
          <w:b/>
          <w:color w:val="000000"/>
        </w:rPr>
        <w:t>Figure 4: Linkage Indexes of the 68 Sectors per Year</w:t>
      </w:r>
    </w:p>
    <w:p w14:paraId="033C037C" w14:textId="795B4CED" w:rsidR="0058122B" w:rsidRPr="0058122B" w:rsidRDefault="002252CF" w:rsidP="0058122B">
      <w:pPr>
        <w:autoSpaceDE w:val="0"/>
        <w:autoSpaceDN w:val="0"/>
        <w:adjustRightInd w:val="0"/>
        <w:spacing w:before="60" w:after="60" w:line="240" w:lineRule="auto"/>
        <w:jc w:val="center"/>
        <w:textAlignment w:val="center"/>
        <w:rPr>
          <w:rFonts w:ascii="Times New Roman" w:hAnsi="Times New Roman" w:cs="Baramond"/>
          <w:color w:val="000000"/>
        </w:rPr>
      </w:pPr>
      <w:r>
        <w:rPr>
          <w:rFonts w:ascii="Times New Roman" w:hAnsi="Times New Roman" w:cs="Baramond"/>
          <w:noProof/>
          <w:color w:val="000000"/>
        </w:rPr>
        <w:drawing>
          <wp:inline distT="0" distB="0" distL="0" distR="0" wp14:anchorId="3EA315CF" wp14:editId="30F7311B">
            <wp:extent cx="5040630" cy="3360420"/>
            <wp:effectExtent l="0" t="0" r="1270" b="5080"/>
            <wp:docPr id="1249524400"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9524400" name="Imagem 1249524400"/>
                    <pic:cNvPicPr/>
                  </pic:nvPicPr>
                  <pic:blipFill>
                    <a:blip r:embed="rId15"/>
                    <a:stretch>
                      <a:fillRect/>
                    </a:stretch>
                  </pic:blipFill>
                  <pic:spPr>
                    <a:xfrm>
                      <a:off x="0" y="0"/>
                      <a:ext cx="5040630" cy="3360420"/>
                    </a:xfrm>
                    <a:prstGeom prst="rect">
                      <a:avLst/>
                    </a:prstGeom>
                  </pic:spPr>
                </pic:pic>
              </a:graphicData>
            </a:graphic>
          </wp:inline>
        </w:drawing>
      </w:r>
    </w:p>
    <w:p w14:paraId="305E6239" w14:textId="77777777" w:rsidR="0058122B" w:rsidRPr="0058122B" w:rsidRDefault="0058122B" w:rsidP="0058122B">
      <w:pPr>
        <w:autoSpaceDE w:val="0"/>
        <w:autoSpaceDN w:val="0"/>
        <w:adjustRightInd w:val="0"/>
        <w:spacing w:after="0" w:line="260" w:lineRule="atLeast"/>
        <w:jc w:val="center"/>
        <w:textAlignment w:val="center"/>
        <w:rPr>
          <w:rFonts w:ascii="Times New Roman" w:hAnsi="Times New Roman"/>
          <w:color w:val="000000"/>
          <w:sz w:val="18"/>
          <w:szCs w:val="18"/>
        </w:rPr>
      </w:pPr>
      <w:r>
        <w:rPr>
          <w:rFonts w:ascii="Times New Roman" w:hAnsi="Times New Roman"/>
          <w:color w:val="000000"/>
          <w:sz w:val="18"/>
        </w:rPr>
        <w:t>Source: Original work based on estimated IOTs.</w:t>
      </w:r>
    </w:p>
    <w:p w14:paraId="2FEAE4B3" w14:textId="4EA41C7D" w:rsidR="0058122B" w:rsidRDefault="0058122B" w:rsidP="0058122B">
      <w:pPr>
        <w:autoSpaceDE w:val="0"/>
        <w:autoSpaceDN w:val="0"/>
        <w:adjustRightInd w:val="0"/>
        <w:spacing w:after="0" w:line="260" w:lineRule="atLeast"/>
        <w:jc w:val="center"/>
        <w:textAlignment w:val="center"/>
        <w:rPr>
          <w:rFonts w:ascii="Times New Roman" w:hAnsi="Times New Roman"/>
          <w:color w:val="000000"/>
          <w:sz w:val="18"/>
        </w:rPr>
      </w:pPr>
      <w:r>
        <w:rPr>
          <w:rFonts w:ascii="Times New Roman" w:hAnsi="Times New Roman"/>
          <w:i/>
          <w:color w:val="000000"/>
          <w:sz w:val="18"/>
        </w:rPr>
        <w:t>Note</w:t>
      </w:r>
      <w:r>
        <w:rPr>
          <w:rFonts w:ascii="Times New Roman" w:hAnsi="Times New Roman"/>
          <w:color w:val="000000"/>
          <w:sz w:val="18"/>
        </w:rPr>
        <w:t xml:space="preserve">: the upper right quadrant of each panel presents the key </w:t>
      </w:r>
      <w:r w:rsidR="00291D4A">
        <w:rPr>
          <w:rFonts w:ascii="Times New Roman" w:hAnsi="Times New Roman"/>
          <w:color w:val="000000"/>
          <w:sz w:val="18"/>
        </w:rPr>
        <w:t>sectors,</w:t>
      </w:r>
      <w:r>
        <w:rPr>
          <w:rFonts w:ascii="Times New Roman" w:hAnsi="Times New Roman"/>
          <w:color w:val="000000"/>
          <w:sz w:val="18"/>
        </w:rPr>
        <w:t xml:space="preserve"> and</w:t>
      </w:r>
      <w:r w:rsidR="00DC3FFF">
        <w:rPr>
          <w:rFonts w:ascii="Times New Roman" w:hAnsi="Times New Roman"/>
          <w:color w:val="000000"/>
          <w:sz w:val="18"/>
        </w:rPr>
        <w:t xml:space="preserve"> </w:t>
      </w:r>
      <w:r>
        <w:rPr>
          <w:rFonts w:ascii="Times New Roman" w:hAnsi="Times New Roman"/>
          <w:color w:val="000000"/>
          <w:sz w:val="18"/>
        </w:rPr>
        <w:t xml:space="preserve">the Electricity and Gas </w:t>
      </w:r>
      <w:r w:rsidR="00DC3FFF">
        <w:rPr>
          <w:rFonts w:ascii="Times New Roman" w:hAnsi="Times New Roman"/>
          <w:color w:val="000000"/>
          <w:sz w:val="18"/>
        </w:rPr>
        <w:t>sector</w:t>
      </w:r>
      <w:r>
        <w:rPr>
          <w:rFonts w:ascii="Times New Roman" w:hAnsi="Times New Roman"/>
          <w:color w:val="000000"/>
          <w:sz w:val="18"/>
        </w:rPr>
        <w:t xml:space="preserve"> </w:t>
      </w:r>
      <w:r w:rsidR="00DC3FFF">
        <w:rPr>
          <w:rFonts w:ascii="Times New Roman" w:hAnsi="Times New Roman"/>
          <w:color w:val="000000"/>
          <w:sz w:val="18"/>
        </w:rPr>
        <w:t>is highlighted in black</w:t>
      </w:r>
      <w:r>
        <w:rPr>
          <w:rFonts w:ascii="Times New Roman" w:hAnsi="Times New Roman"/>
          <w:color w:val="000000"/>
          <w:sz w:val="18"/>
        </w:rPr>
        <w:t>. Dotted lines refer to the index value equal to one.</w:t>
      </w:r>
    </w:p>
    <w:p w14:paraId="524EA718" w14:textId="77777777" w:rsidR="00FA3895" w:rsidRPr="0058122B" w:rsidRDefault="00FA3895" w:rsidP="0058122B">
      <w:pPr>
        <w:autoSpaceDE w:val="0"/>
        <w:autoSpaceDN w:val="0"/>
        <w:adjustRightInd w:val="0"/>
        <w:spacing w:after="0" w:line="260" w:lineRule="atLeast"/>
        <w:jc w:val="center"/>
        <w:textAlignment w:val="center"/>
        <w:rPr>
          <w:rFonts w:ascii="Times New Roman" w:hAnsi="Times New Roman"/>
          <w:color w:val="000000"/>
          <w:sz w:val="18"/>
          <w:szCs w:val="18"/>
        </w:rPr>
      </w:pPr>
    </w:p>
    <w:p w14:paraId="74875B37" w14:textId="1ED6A18A" w:rsidR="008161E4" w:rsidRPr="002252AD" w:rsidRDefault="008161E4" w:rsidP="008161E4">
      <w:pPr>
        <w:pStyle w:val="Grfico"/>
      </w:pPr>
      <w:r>
        <w:t>Figure 5: Electricity Sector Linkage Indexes in 2010, 2013, 2016 and 2019</w:t>
      </w:r>
    </w:p>
    <w:p w14:paraId="45971CD1" w14:textId="155540E9" w:rsidR="00F4116E" w:rsidRDefault="00EB681B" w:rsidP="00327667">
      <w:pPr>
        <w:pStyle w:val="REFERENCIAS"/>
        <w:spacing w:line="360" w:lineRule="auto"/>
        <w:jc w:val="center"/>
        <w:rPr>
          <w:rFonts w:ascii="Times New Roman" w:hAnsi="Times New Roman" w:cs="Times New Roman"/>
        </w:rPr>
      </w:pPr>
      <w:r>
        <w:rPr>
          <w:rFonts w:ascii="Times New Roman" w:hAnsi="Times New Roman" w:cs="Times New Roman"/>
          <w:noProof/>
        </w:rPr>
        <w:drawing>
          <wp:inline distT="0" distB="0" distL="0" distR="0" wp14:anchorId="02A7D8BB" wp14:editId="67D9DF47">
            <wp:extent cx="3766278" cy="2510852"/>
            <wp:effectExtent l="0" t="0" r="5715" b="3810"/>
            <wp:docPr id="116303409"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303409" name="Imagem 116303409"/>
                    <pic:cNvPicPr/>
                  </pic:nvPicPr>
                  <pic:blipFill>
                    <a:blip r:embed="rId16"/>
                    <a:stretch>
                      <a:fillRect/>
                    </a:stretch>
                  </pic:blipFill>
                  <pic:spPr>
                    <a:xfrm>
                      <a:off x="0" y="0"/>
                      <a:ext cx="3786642" cy="2524428"/>
                    </a:xfrm>
                    <a:prstGeom prst="rect">
                      <a:avLst/>
                    </a:prstGeom>
                  </pic:spPr>
                </pic:pic>
              </a:graphicData>
            </a:graphic>
          </wp:inline>
        </w:drawing>
      </w:r>
    </w:p>
    <w:p w14:paraId="1A132D52" w14:textId="77777777" w:rsidR="00E62AFF" w:rsidRDefault="00E62AFF" w:rsidP="00E62AFF">
      <w:pPr>
        <w:pStyle w:val="CORPO"/>
        <w:ind w:firstLine="0"/>
        <w:jc w:val="center"/>
        <w:rPr>
          <w:rFonts w:ascii="Times New Roman" w:hAnsi="Times New Roman" w:cs="Times New Roman"/>
          <w:sz w:val="18"/>
          <w:szCs w:val="18"/>
        </w:rPr>
      </w:pPr>
      <w:r>
        <w:rPr>
          <w:rFonts w:ascii="Times New Roman" w:hAnsi="Times New Roman"/>
          <w:sz w:val="18"/>
        </w:rPr>
        <w:t>Source: Original work based on estimated IOTs</w:t>
      </w:r>
    </w:p>
    <w:p w14:paraId="3E810298" w14:textId="77777777" w:rsidR="002949D0" w:rsidRDefault="002949D0" w:rsidP="00E62AFF">
      <w:pPr>
        <w:pStyle w:val="CORPO"/>
        <w:ind w:firstLine="0"/>
        <w:jc w:val="center"/>
        <w:rPr>
          <w:rFonts w:ascii="Times New Roman" w:hAnsi="Times New Roman" w:cs="Times New Roman"/>
          <w:sz w:val="18"/>
          <w:szCs w:val="18"/>
        </w:rPr>
      </w:pPr>
    </w:p>
    <w:p w14:paraId="38FBD341" w14:textId="77777777" w:rsidR="002949D0" w:rsidRPr="002949D0" w:rsidRDefault="002949D0" w:rsidP="002949D0">
      <w:pPr>
        <w:autoSpaceDE w:val="0"/>
        <w:autoSpaceDN w:val="0"/>
        <w:adjustRightInd w:val="0"/>
        <w:spacing w:before="60" w:after="60" w:line="240" w:lineRule="auto"/>
        <w:ind w:firstLine="567"/>
        <w:jc w:val="both"/>
        <w:textAlignment w:val="center"/>
        <w:rPr>
          <w:rFonts w:ascii="Times New Roman" w:hAnsi="Times New Roman" w:cs="Baramond"/>
          <w:color w:val="000000" w:themeColor="text1"/>
        </w:rPr>
      </w:pPr>
      <w:r>
        <w:rPr>
          <w:rFonts w:ascii="Times New Roman" w:hAnsi="Times New Roman"/>
          <w:color w:val="000000"/>
        </w:rPr>
        <w:t>However, as explained in the methodology section, high connection rates do not necessarily imply a high number of connections with other sectors. To assess this dispersion, coefficients of variation are used (</w:t>
      </w:r>
      <m:oMath>
        <m:r>
          <w:rPr>
            <w:rFonts w:ascii="Cambria Math" w:hAnsi="Cambria Math" w:cs="Baramond"/>
            <w:color w:val="000000"/>
            <w:lang w:eastAsia="pt-BR"/>
          </w:rPr>
          <m:t>CV</m:t>
        </m:r>
      </m:oMath>
      <w:r>
        <w:rPr>
          <w:rFonts w:ascii="Times New Roman" w:hAnsi="Times New Roman"/>
          <w:color w:val="000000"/>
        </w:rPr>
        <w:t xml:space="preserve">): the smaller the metric, the more </w:t>
      </w:r>
      <w:r>
        <w:rPr>
          <w:rFonts w:ascii="Times New Roman" w:hAnsi="Times New Roman"/>
          <w:color w:val="000000" w:themeColor="text1"/>
        </w:rPr>
        <w:t xml:space="preserve">dispersed the impact of the sector, i.e. the greater the number of activities affected by it. On the other hand, if </w:t>
      </w:r>
      <m:oMath>
        <m:r>
          <w:rPr>
            <w:rFonts w:ascii="Cambria Math" w:hAnsi="Cambria Math" w:cs="Baramond"/>
            <w:color w:val="000000" w:themeColor="text1"/>
            <w:lang w:eastAsia="pt-BR"/>
          </w:rPr>
          <m:t>CV</m:t>
        </m:r>
      </m:oMath>
      <w:r>
        <w:rPr>
          <w:rFonts w:ascii="Times New Roman" w:hAnsi="Times New Roman"/>
          <w:color w:val="000000" w:themeColor="text1"/>
        </w:rPr>
        <w:t xml:space="preserve"> is high, the impacts of its supply or demand are concentrated in a few industries.</w:t>
      </w:r>
    </w:p>
    <w:p w14:paraId="2FE44067" w14:textId="629BD872" w:rsidR="002949D0" w:rsidRPr="002949D0" w:rsidRDefault="002949D0" w:rsidP="002949D0">
      <w:pPr>
        <w:autoSpaceDE w:val="0"/>
        <w:autoSpaceDN w:val="0"/>
        <w:adjustRightInd w:val="0"/>
        <w:spacing w:before="60" w:after="60" w:line="240" w:lineRule="auto"/>
        <w:ind w:firstLine="567"/>
        <w:jc w:val="both"/>
        <w:textAlignment w:val="center"/>
        <w:rPr>
          <w:rFonts w:ascii="Times New Roman" w:hAnsi="Times New Roman" w:cs="Baramond"/>
          <w:color w:val="000000" w:themeColor="text1"/>
        </w:rPr>
      </w:pPr>
      <w:r>
        <w:rPr>
          <w:rFonts w:ascii="Times New Roman" w:hAnsi="Times New Roman"/>
          <w:color w:val="000000" w:themeColor="text1"/>
        </w:rPr>
        <w:t>Figure 6 displays the average of the results found for the years 2010, 2013, 2016 and 2019</w:t>
      </w:r>
      <w:r w:rsidRPr="002949D0">
        <w:rPr>
          <w:rFonts w:ascii="Times New Roman" w:hAnsi="Times New Roman" w:cs="Baramond"/>
          <w:color w:val="000000" w:themeColor="text1"/>
          <w:vertAlign w:val="superscript"/>
          <w:lang w:eastAsia="pt-BR"/>
        </w:rPr>
        <w:footnoteReference w:id="14"/>
      </w:r>
      <w:r>
        <w:rPr>
          <w:rFonts w:ascii="Times New Roman" w:hAnsi="Times New Roman"/>
          <w:color w:val="000000" w:themeColor="text1"/>
        </w:rPr>
        <w:t xml:space="preserve">, and shows that the electricity sector has a more dispersed supply, i.e. its product is used as an input by many other industries. On the other hand, in 2019, more than half of the sector's purchases come from itself, resulting in a more concentrated demand compared to other economic activities. </w:t>
      </w:r>
    </w:p>
    <w:p w14:paraId="62877673" w14:textId="14145EE7" w:rsidR="002949D0" w:rsidRPr="002949D0" w:rsidRDefault="002949D0" w:rsidP="002949D0">
      <w:pPr>
        <w:autoSpaceDE w:val="0"/>
        <w:autoSpaceDN w:val="0"/>
        <w:adjustRightInd w:val="0"/>
        <w:spacing w:before="60" w:after="60" w:line="240" w:lineRule="auto"/>
        <w:ind w:firstLine="567"/>
        <w:jc w:val="both"/>
        <w:textAlignment w:val="center"/>
        <w:rPr>
          <w:rFonts w:ascii="Times New Roman" w:hAnsi="Times New Roman" w:cs="Baramond"/>
          <w:color w:val="000000" w:themeColor="text1"/>
          <w:spacing w:val="4"/>
        </w:rPr>
      </w:pPr>
      <w:r>
        <w:rPr>
          <w:rFonts w:ascii="Times New Roman" w:hAnsi="Times New Roman"/>
          <w:color w:val="000000" w:themeColor="text1"/>
        </w:rPr>
        <w:t xml:space="preserve">In general, the linkage </w:t>
      </w:r>
      <w:r w:rsidR="004539EE">
        <w:rPr>
          <w:rFonts w:ascii="Times New Roman" w:hAnsi="Times New Roman"/>
          <w:color w:val="000000" w:themeColor="text1"/>
        </w:rPr>
        <w:t>indexes</w:t>
      </w:r>
      <w:r>
        <w:rPr>
          <w:rFonts w:ascii="Times New Roman" w:hAnsi="Times New Roman"/>
          <w:color w:val="000000" w:themeColor="text1"/>
        </w:rPr>
        <w:t xml:space="preserve"> and dispersion coefficients show that the electricity sector is strongly demanded by other activities in the economy and that the stimulus from its supply is comprehensive and uniform. On the demand side, its impacts are above the economy average, but are concentrated due to a high </w:t>
      </w:r>
      <m:oMath>
        <m:r>
          <w:rPr>
            <w:rFonts w:ascii="Cambria Math" w:hAnsi="Cambria Math" w:cs="Baramond"/>
            <w:color w:val="000000" w:themeColor="text1"/>
            <w:lang w:eastAsia="pt-BR"/>
          </w:rPr>
          <m:t>CV</m:t>
        </m:r>
      </m:oMath>
      <w:r>
        <w:rPr>
          <w:rFonts w:ascii="Times New Roman" w:hAnsi="Times New Roman"/>
          <w:color w:val="000000" w:themeColor="text1"/>
        </w:rPr>
        <w:t>, which reflects the fact that the sector demands a lot from itself and consumes a high proportion of imported inputs (</w:t>
      </w:r>
      <w:r w:rsidRPr="002949D0">
        <w:rPr>
          <w:rFonts w:ascii="Times New Roman" w:hAnsi="Times New Roman" w:cs="Baramond"/>
          <w:color w:val="000000" w:themeColor="text1"/>
        </w:rPr>
        <w:fldChar w:fldCharType="begin"/>
      </w:r>
      <w:r w:rsidRPr="002949D0">
        <w:rPr>
          <w:rFonts w:ascii="Times New Roman" w:hAnsi="Times New Roman" w:cs="Baramond"/>
          <w:color w:val="000000" w:themeColor="text1"/>
        </w:rPr>
        <w:instrText xml:space="preserve"> ADDIN ZOTERO_ITEM CSL_CITATION {"citationID":"JUulpDep","properties":{"formattedCitation":"(MONTOYA et al., 2015)","plainCitation":"(MONTOYA et al., 2015)","dontUpdate":true,"noteIndex":0},"citationItems":[{"id":62,"uris":["http://zotero.org/users/8767809/items/ZI8FT9F3",["http://zotero.org/users/8767809/items/ZI8FT9F3"]],"itemData":{"id":62,"type":"article-journal","abstract":"Resumo\n\t\t\t\t\tEste artigo avalia as relações intersetoriais do setor energético na economia brasileira, utilizando a matriz insumo-produto estimada para 2009. Verificou-se que o setor energético constitui-se no principal setor-chave da economia, estimula de forma abrangente o\ncrescimento econômico e seus estímulos destacam-se na geração de produção, empregos e salários. As simulações sobre o setor energético mostraram que os setores serviços são os principais canais de transmissão dos impactos de um maior consumo de energia na economia brasileira. Trata-se, portanto, de um setor estratégico para o crescimento econômico que precisa de um fluxo contínuo de investimentos para incrementar sua produção.","container-title":"Revista Teoria e Evidência Econômica","DOI":"10.5335/rtee.v21i44.5353","ISSN":"2318-8448","issue":"44","language":"pt","license":"Copyright (c)","note":"number: 44","source":"seer.upf.br","title":"As relações intersetoriais do setor energético na economia brasileira: uma abordagem insumo-produto","title-short":"As relações intersetoriais do setor energético na economia brasileira","URL":"http://seer.upf.br/index.php/rtee/article/view/5353","volume":"21","author":[{"family":"Montoya","given":"Marco Antonio"},{"family":"Pasqual","given":"Cássia Aparecida"},{"family":"Lopes","given":"Ricardo Luis"},{"family":"Guilhoto","given":"Joaquim José Martins"}],"accessed":{"date-parts":[["2021",12,9]]},"issued":{"date-parts":[["2015",9,10]]}}}],"schema":"https://github.com/citation-style-language/schema/raw/master/csl-citation.json"} </w:instrText>
      </w:r>
      <w:r w:rsidRPr="002949D0">
        <w:rPr>
          <w:rFonts w:ascii="Times New Roman" w:hAnsi="Times New Roman" w:cs="Baramond"/>
          <w:color w:val="000000" w:themeColor="text1"/>
        </w:rPr>
        <w:fldChar w:fldCharType="separate"/>
      </w:r>
      <w:r w:rsidR="00EB681B">
        <w:rPr>
          <w:rFonts w:ascii="Times New Roman" w:hAnsi="Times New Roman" w:cs="Baramond"/>
          <w:color w:val="000000" w:themeColor="text1"/>
        </w:rPr>
        <w:t>Montoya</w:t>
      </w:r>
      <w:r w:rsidRPr="002949D0">
        <w:rPr>
          <w:rFonts w:ascii="Times New Roman" w:hAnsi="Times New Roman" w:cs="Baramond"/>
          <w:color w:val="000000" w:themeColor="text1"/>
        </w:rPr>
        <w:t xml:space="preserve"> </w:t>
      </w:r>
      <w:r w:rsidRPr="002949D0">
        <w:rPr>
          <w:rFonts w:ascii="Times New Roman" w:hAnsi="Times New Roman" w:cs="Baramond"/>
          <w:i/>
          <w:color w:val="000000" w:themeColor="text1"/>
        </w:rPr>
        <w:t>et al</w:t>
      </w:r>
      <w:r w:rsidRPr="002949D0">
        <w:rPr>
          <w:rFonts w:ascii="Times New Roman" w:hAnsi="Times New Roman" w:cs="Baramond"/>
          <w:color w:val="000000" w:themeColor="text1"/>
        </w:rPr>
        <w:t>., 2015)</w:t>
      </w:r>
      <w:r w:rsidRPr="002949D0">
        <w:rPr>
          <w:rFonts w:ascii="Times New Roman" w:hAnsi="Times New Roman" w:cs="Baramond"/>
          <w:color w:val="000000" w:themeColor="text1"/>
        </w:rPr>
        <w:fldChar w:fldCharType="end"/>
      </w:r>
      <w:r>
        <w:rPr>
          <w:rFonts w:ascii="Times New Roman" w:hAnsi="Times New Roman"/>
          <w:color w:val="000000" w:themeColor="text1"/>
        </w:rPr>
        <w:t>.</w:t>
      </w:r>
    </w:p>
    <w:p w14:paraId="01D7FB1D" w14:textId="2295E59E" w:rsidR="002949D0" w:rsidRDefault="002949D0" w:rsidP="002949D0">
      <w:pPr>
        <w:autoSpaceDE w:val="0"/>
        <w:autoSpaceDN w:val="0"/>
        <w:adjustRightInd w:val="0"/>
        <w:spacing w:before="60" w:after="60" w:line="240" w:lineRule="auto"/>
        <w:ind w:firstLine="567"/>
        <w:jc w:val="both"/>
        <w:textAlignment w:val="center"/>
        <w:rPr>
          <w:rFonts w:ascii="Times New Roman" w:hAnsi="Times New Roman" w:cs="Baramond"/>
          <w:color w:val="000000" w:themeColor="text1"/>
        </w:rPr>
      </w:pPr>
      <w:r>
        <w:rPr>
          <w:rFonts w:ascii="Times New Roman" w:hAnsi="Times New Roman"/>
          <w:color w:val="000000" w:themeColor="text1"/>
        </w:rPr>
        <w:t xml:space="preserve">The results confirm the findings of </w:t>
      </w:r>
      <w:r w:rsidRPr="002949D0">
        <w:rPr>
          <w:rFonts w:ascii="Times New Roman" w:hAnsi="Times New Roman" w:cs="Baramond"/>
          <w:color w:val="000000" w:themeColor="text1"/>
        </w:rPr>
        <w:fldChar w:fldCharType="begin"/>
      </w:r>
      <w:r w:rsidRPr="002949D0">
        <w:rPr>
          <w:rFonts w:ascii="Times New Roman" w:hAnsi="Times New Roman" w:cs="Baramond"/>
          <w:color w:val="000000" w:themeColor="text1"/>
        </w:rPr>
        <w:instrText xml:space="preserve"> ADDIN ZOTERO_ITEM CSL_CITATION {"citationID":"SBxFz6SW","properties":{"formattedCitation":"(MONTOYA et al., 2015)","plainCitation":"(MONTOYA et al., 2015)","dontUpdate":true,"noteIndex":0},"citationItems":[{"id":62,"uris":["http://zotero.org/users/8767809/items/ZI8FT9F3",["http://zotero.org/users/8767809/items/ZI8FT9F3"]],"itemData":{"id":62,"type":"article-journal","abstract":"Resumo\n\t\t\t\t\tEste artigo avalia as relações intersetoriais do setor energético na economia brasileira, utilizando a matriz insumo-produto estimada para 2009. Verificou-se que o setor energético constitui-se no principal setor-chave da economia, estimula de forma abrangente o\ncrescimento econômico e seus estímulos destacam-se na geração de produção, empregos e salários. As simulações sobre o setor energético mostraram que os setores serviços são os principais canais de transmissão dos impactos de um maior consumo de energia na economia brasileira. Trata-se, portanto, de um setor estratégico para o crescimento econômico que precisa de um fluxo contínuo de investimentos para incrementar sua produção.","container-title":"Revista Teoria e Evidência Econômica","DOI":"10.5335/rtee.v21i44.5353","ISSN":"2318-8448","issue":"44","language":"pt","license":"Copyright (c)","note":"number: 44","source":"seer.upf.br","title":"As relações intersetoriais do setor energético na economia brasileira: uma abordagem insumo-produto","title-short":"As relações intersetoriais do setor energético na economia brasileira","URL":"http://seer.upf.br/index.php/rtee/article/view/5353","volume":"21","author":[{"family":"Montoya","given":"Marco Antonio"},{"family":"Pasqual","given":"Cássia Aparecida"},{"family":"Lopes","given":"Ricardo Luis"},{"family":"Guilhoto","given":"Joaquim José Martins"}],"accessed":{"date-parts":[["2021",12,9]]},"issued":{"date-parts":[["2015",9,10]]}}}],"schema":"https://github.com/citation-style-language/schema/raw/master/csl-citation.json"} </w:instrText>
      </w:r>
      <w:r w:rsidRPr="002949D0">
        <w:rPr>
          <w:rFonts w:ascii="Times New Roman" w:hAnsi="Times New Roman" w:cs="Baramond"/>
          <w:color w:val="000000" w:themeColor="text1"/>
        </w:rPr>
        <w:fldChar w:fldCharType="separate"/>
      </w:r>
      <w:r w:rsidRPr="002949D0">
        <w:rPr>
          <w:rFonts w:ascii="Times New Roman" w:hAnsi="Times New Roman" w:cs="Baramond"/>
          <w:color w:val="000000" w:themeColor="text1"/>
        </w:rPr>
        <w:t xml:space="preserve">Montoya </w:t>
      </w:r>
      <w:r w:rsidRPr="002949D0">
        <w:rPr>
          <w:rFonts w:ascii="Times New Roman" w:hAnsi="Times New Roman" w:cs="Baramond"/>
          <w:i/>
          <w:color w:val="000000" w:themeColor="text1"/>
        </w:rPr>
        <w:t>et al.</w:t>
      </w:r>
      <w:r w:rsidRPr="002949D0">
        <w:rPr>
          <w:rFonts w:ascii="Times New Roman" w:hAnsi="Times New Roman" w:cs="Baramond"/>
          <w:color w:val="000000" w:themeColor="text1"/>
        </w:rPr>
        <w:t xml:space="preserve"> (2015)</w:t>
      </w:r>
      <w:r w:rsidRPr="002949D0">
        <w:rPr>
          <w:rFonts w:ascii="Times New Roman" w:hAnsi="Times New Roman" w:cs="Baramond"/>
          <w:color w:val="000000" w:themeColor="text1"/>
        </w:rPr>
        <w:fldChar w:fldCharType="end"/>
      </w:r>
      <w:r>
        <w:rPr>
          <w:rFonts w:ascii="Times New Roman" w:hAnsi="Times New Roman"/>
          <w:color w:val="000000" w:themeColor="text1"/>
        </w:rPr>
        <w:t xml:space="preserve"> and </w:t>
      </w:r>
      <w:r w:rsidRPr="002949D0">
        <w:rPr>
          <w:rFonts w:ascii="Times New Roman" w:hAnsi="Times New Roman" w:cs="Baramond"/>
          <w:color w:val="000000" w:themeColor="text1"/>
        </w:rPr>
        <w:fldChar w:fldCharType="begin"/>
      </w:r>
      <w:r w:rsidRPr="002949D0">
        <w:rPr>
          <w:rFonts w:ascii="Times New Roman" w:hAnsi="Times New Roman" w:cs="Baramond"/>
          <w:color w:val="000000" w:themeColor="text1"/>
        </w:rPr>
        <w:instrText xml:space="preserve"> ADDIN ZOTERO_ITEM CSL_CITATION {"citationID":"PZE1JFWu","properties":{"formattedCitation":"(BERTUSSI; TAKASAGO; GUILHOTO, 2020)","plainCitation":"(BERTUSSI; TAKASAGO; GUILHOTO, 2020)","dontUpdate":true,"noteIndex":0},"citationItems":[{"id":106,"uris":["http://zotero.org/users/8767809/items/5BV3BXZT"],"itemData":{"id":106,"type":"article-journal","abstract":"In view of the need to expand investments in the country, in the current context of the Brazilian economy, and understanding the positive effects of investments in infrastructure, it is relevant to study the multiplier effects of this specific type of investment on the other sectors of the country’s economy. For this, the present study used the inputoutput matrix methodology, using data from 2011. The Rasmussen-Hirschman indices, which show the degree of linkage of the economic sectors, were calculated, considering that there is a connection both backwards and forwards. The fields of influence were also presented for each sector. The results show that the Transportation and Electricity sectors can be considered strategic for the development of the Brazilian economy.","container-title":"Análise Econômica","DOI":"10.22456/2176-5456.76395","ISSN":"2176-5456, 0102-9924","issue":"77","journalAbbreviation":"RAE","language":"pt","source":"DOI.org (Crossref)","title":"Infraestrutura Econômica no Brasil: uma análise de sua relevância sob a ótica de matriz insumo-produto.","title-short":"INFRAESTRUTURA ECONÔMICA NO BRASIL","URL":"https://seer.ufrgs.br/AnaliseEconomica/article/view/76395","volume":"38","author":[{"family":"Bertussi","given":"Geovana Lorena"},{"family":"Takasago","given":"Milene"},{"family":"Guilhoto","given":"Joaquim José Martins"}],"accessed":{"date-parts":[["2023",12,21]]},"issued":{"date-parts":[["2020",9,27]]}}}],"schema":"https://github.com/citation-style-language/schema/raw/master/csl-citation.json"} </w:instrText>
      </w:r>
      <w:r w:rsidRPr="002949D0">
        <w:rPr>
          <w:rFonts w:ascii="Times New Roman" w:hAnsi="Times New Roman" w:cs="Baramond"/>
          <w:color w:val="000000" w:themeColor="text1"/>
        </w:rPr>
        <w:fldChar w:fldCharType="separate"/>
      </w:r>
      <w:r w:rsidRPr="002949D0">
        <w:rPr>
          <w:rFonts w:ascii="Times New Roman" w:hAnsi="Times New Roman" w:cs="Baramond"/>
          <w:color w:val="000000" w:themeColor="text1"/>
        </w:rPr>
        <w:t>Bertussi, Takasago</w:t>
      </w:r>
      <w:r w:rsidR="005E365E">
        <w:rPr>
          <w:rFonts w:ascii="Times New Roman" w:hAnsi="Times New Roman" w:cs="Baramond"/>
          <w:color w:val="000000" w:themeColor="text1"/>
        </w:rPr>
        <w:t xml:space="preserve"> and </w:t>
      </w:r>
      <w:r w:rsidRPr="002949D0">
        <w:rPr>
          <w:rFonts w:ascii="Times New Roman" w:hAnsi="Times New Roman" w:cs="Baramond"/>
          <w:color w:val="000000" w:themeColor="text1"/>
        </w:rPr>
        <w:t>Guilhoto (2020)</w:t>
      </w:r>
      <w:r w:rsidRPr="002949D0">
        <w:rPr>
          <w:rFonts w:ascii="Times New Roman" w:hAnsi="Times New Roman" w:cs="Baramond"/>
          <w:color w:val="000000" w:themeColor="text1"/>
        </w:rPr>
        <w:fldChar w:fldCharType="end"/>
      </w:r>
      <w:r>
        <w:rPr>
          <w:rFonts w:ascii="Times New Roman" w:hAnsi="Times New Roman"/>
          <w:color w:val="000000" w:themeColor="text1"/>
        </w:rPr>
        <w:t xml:space="preserve"> regarding the importance of the activity, the wide dispersion of its </w:t>
      </w:r>
      <w:r>
        <w:rPr>
          <w:rFonts w:ascii="Times New Roman" w:hAnsi="Times New Roman"/>
          <w:color w:val="000000" w:themeColor="text1"/>
        </w:rPr>
        <w:lastRenderedPageBreak/>
        <w:t xml:space="preserve">supply and the greater relative concentration of its demand. In addition, they show the evolution of the energy sector since 2002 </w:t>
      </w:r>
      <w:r w:rsidRPr="002949D0">
        <w:rPr>
          <w:rFonts w:ascii="Times New Roman" w:hAnsi="Times New Roman" w:cs="Baramond"/>
          <w:color w:val="000000" w:themeColor="text1"/>
        </w:rPr>
        <w:fldChar w:fldCharType="begin"/>
      </w:r>
      <w:r w:rsidRPr="002949D0">
        <w:rPr>
          <w:rFonts w:ascii="Times New Roman" w:hAnsi="Times New Roman" w:cs="Baramond"/>
          <w:color w:val="000000" w:themeColor="text1"/>
        </w:rPr>
        <w:instrText xml:space="preserve"> ADDIN ZOTERO_ITEM CSL_CITATION {"citationID":"U4Te1mBV","properties":{"formattedCitation":"(FIRME; PEROBELLI, 2012)","plainCitation":"(FIRME; PEROBELLI, 2012)","noteIndex":0},"citationItems":[{"id":72,"uris":["http://zotero.org/users/8767809/items/3GBM5D4L",["http://zotero.org/users/8767809/items/3GBM5D4L"]],"itemData":{"id":72,"type":"article-journal","abstract":"Este trabalho analisa as mudanças estruturais ocorridas no setor energético brasileiro nos anos de 1997 e 2002. Para tanto, utiliza as matrizes de insumo-produto estimadas por Guilhoto e Sesso (2005) para ambos os anos. Cabe ressaltar que, devido à necessidade de compatibilização dos dados de energia (fluxos físicos) constantes no Balanço Energético Nacional (BEN) e a matriz de insumo-produto para o Brasil, este artigo apresentará resultados para quatorze setores produtivos. A análise setorial se baseará em duas partes. A primeira será composta por uma análise exploratória do setor, mediante utilização dos indicadores clássicos de insumo-produto (isto é, setor-chave, análise dos multiplicados de emprego, renda e produção). Na segunda seção, a análise tomará por base o modelo híbrido de insumo-produto. O modelo híbrido permitirá verificar quais os requerimentos diretos, indiretos e totais do setor de energia. Os resultados deste artigo permitirão um melhor entendimento do setor de energia no Brasil.","container-title":"Planejamento e Políticas Públicas","ISSN":"2359-389X","issue":"39","language":"pt","license":"Copyright (c)","note":"number: 39","source":"www.ipea.gov.br","title":"O Setor Energético Brasileiro: Uma Análise Via Indicadores de Insumo-Produto e o Modelo Híbrido para os Anos de 1997 e 2002","title-short":"O Setor Energético Brasileiro","URL":"//www.ipea.gov.br/ppp/index.php/PPP/article/view/317","author":[{"family":"Firme","given":"Vinicius Azevedo Couto"},{"family":"Perobelli","given":"Fernando Salgueiro"}],"accessed":{"date-parts":[["2022",1,18]]},"issued":{"date-parts":[["2012",12,21]]}}}],"schema":"https://github.com/citation-style-language/schema/raw/master/csl-citation.json"} </w:instrText>
      </w:r>
      <w:r w:rsidRPr="002949D0">
        <w:rPr>
          <w:rFonts w:ascii="Times New Roman" w:hAnsi="Times New Roman" w:cs="Baramond"/>
          <w:color w:val="000000" w:themeColor="text1"/>
        </w:rPr>
        <w:fldChar w:fldCharType="separate"/>
      </w:r>
      <w:r w:rsidRPr="002949D0">
        <w:rPr>
          <w:rFonts w:ascii="Times New Roman" w:hAnsi="Times New Roman" w:cs="Baramond"/>
          <w:color w:val="000000" w:themeColor="text1"/>
        </w:rPr>
        <w:t>(</w:t>
      </w:r>
      <w:r w:rsidR="00EB681B">
        <w:rPr>
          <w:rFonts w:ascii="Times New Roman" w:hAnsi="Times New Roman" w:cs="Baramond"/>
          <w:color w:val="000000" w:themeColor="text1"/>
        </w:rPr>
        <w:t>Firme</w:t>
      </w:r>
      <w:r w:rsidRPr="002949D0">
        <w:rPr>
          <w:rFonts w:ascii="Times New Roman" w:hAnsi="Times New Roman" w:cs="Baramond"/>
          <w:color w:val="000000" w:themeColor="text1"/>
        </w:rPr>
        <w:t xml:space="preserve">; </w:t>
      </w:r>
      <w:r w:rsidR="00EB681B">
        <w:rPr>
          <w:rFonts w:ascii="Times New Roman" w:hAnsi="Times New Roman" w:cs="Baramond"/>
          <w:color w:val="000000" w:themeColor="text1"/>
        </w:rPr>
        <w:t>Perobelli</w:t>
      </w:r>
      <w:r w:rsidRPr="002949D0">
        <w:rPr>
          <w:rFonts w:ascii="Times New Roman" w:hAnsi="Times New Roman" w:cs="Baramond"/>
          <w:color w:val="000000" w:themeColor="text1"/>
        </w:rPr>
        <w:t>, 2012)</w:t>
      </w:r>
      <w:r w:rsidRPr="002949D0">
        <w:rPr>
          <w:rFonts w:ascii="Times New Roman" w:hAnsi="Times New Roman" w:cs="Baramond"/>
          <w:color w:val="000000" w:themeColor="text1"/>
        </w:rPr>
        <w:fldChar w:fldCharType="end"/>
      </w:r>
      <w:r>
        <w:rPr>
          <w:rFonts w:ascii="Times New Roman" w:hAnsi="Times New Roman"/>
          <w:color w:val="000000" w:themeColor="text1"/>
        </w:rPr>
        <w:t xml:space="preserve"> and 2005 </w:t>
      </w:r>
      <w:r w:rsidRPr="002949D0">
        <w:rPr>
          <w:rFonts w:ascii="Times New Roman" w:hAnsi="Times New Roman" w:cs="Baramond"/>
          <w:color w:val="000000" w:themeColor="text1"/>
        </w:rPr>
        <w:fldChar w:fldCharType="begin"/>
      </w:r>
      <w:r w:rsidRPr="002949D0">
        <w:rPr>
          <w:rFonts w:ascii="Times New Roman" w:hAnsi="Times New Roman" w:cs="Baramond"/>
          <w:color w:val="000000" w:themeColor="text1"/>
        </w:rPr>
        <w:instrText xml:space="preserve"> ADDIN ZOTERO_ITEM CSL_CITATION {"citationID":"w1sTYtie","properties":{"formattedCitation":"(GUILHOTO; SESSO FILHO, 2010)","plainCitation":"(GUILHOTO; SESSO FILHO, 2010)","noteIndex":0},"citationItems":[{"id":16,"uris":["http://zotero.org/users/8767809/items/C6LGJ7P9",["http://zotero.org/users/8767809/items/C6LGJ7P9"]],"itemData":{"id":16,"type":"article-journal","abstract":"O presente estudo tem como objetivo avaliar a metodologia de estimação das matrizes de insumo-produto, a preços básicos, a partir dos dados preliminares das Contas Nacionais do Brasil. A mesma é testada para o ano de 2005, sendo que os resultados obtidos a partir da matriz de insumo-produto (versão definitiva) disponibilizada pelo IBGE e a matriz estimada pela metodologia proposta são comparados. Os resultados analisados consistem dos multiplicadores de emprego e produção e os índices de ligação intersetoriais de Rasmussen-Hirschman, indicadores econômicos baseados na teoria de insumo-produto. Conclui-se que as séries de indicadores econômicos da matriz estimada e da disponibilizada pelo IBGE não são diferentes, baseando-se em análise estatística (índices de correlação). Portanto, a metodologia proposta pode ser utilizada para a estimação de matrizes de insumo-produto nacionais para períodos em que existem somente dados preliminares e as análises estruturais da economia realizadas com as matrizes estimadas são válidas para o ano analisado.","container-title":"Revista Economia &amp; Tecnologia","DOI":"10.5380/ret.v6i4.26912","ISSN":"2238-1988, 2238-4715","issue":"4","journalAbbreviation":"RET","language":"pt","source":"DOI.org (Crossref)","title":"Estimação da matriz insumo-produto utilizando dados preliminares das contas nacionais: aplicação e análise de indicadores econômicos para o Brasil em 2005","title-short":"Estimação da matriz insumo-produto utilizando dados preliminares das contas nacionais","URL":"http://revistas.ufpr.br/ret/article/view/26912","volume":"6","author":[{"family":"Guilhoto","given":"Joaquim José Martins"},{"family":"Sesso Filho","given":"Umberto Antonio"}],"accessed":{"date-parts":[["2021",11,19]]},"issued":{"date-parts":[["2010",12,31]]}}}],"schema":"https://github.com/citation-style-language/schema/raw/master/csl-citation.json"} </w:instrText>
      </w:r>
      <w:r w:rsidRPr="002949D0">
        <w:rPr>
          <w:rFonts w:ascii="Times New Roman" w:hAnsi="Times New Roman" w:cs="Baramond"/>
          <w:color w:val="000000" w:themeColor="text1"/>
        </w:rPr>
        <w:fldChar w:fldCharType="separate"/>
      </w:r>
      <w:r w:rsidRPr="002949D0">
        <w:rPr>
          <w:rFonts w:ascii="Times New Roman" w:hAnsi="Times New Roman" w:cs="Baramond"/>
          <w:color w:val="000000" w:themeColor="text1"/>
        </w:rPr>
        <w:t>(</w:t>
      </w:r>
      <w:r w:rsidR="00EB681B">
        <w:rPr>
          <w:rFonts w:ascii="Times New Roman" w:hAnsi="Times New Roman" w:cs="Baramond"/>
          <w:color w:val="000000" w:themeColor="text1"/>
        </w:rPr>
        <w:t>Guilhoto</w:t>
      </w:r>
      <w:r w:rsidRPr="002949D0">
        <w:rPr>
          <w:rFonts w:ascii="Times New Roman" w:hAnsi="Times New Roman" w:cs="Baramond"/>
          <w:color w:val="000000" w:themeColor="text1"/>
        </w:rPr>
        <w:t xml:space="preserve">; </w:t>
      </w:r>
      <w:r w:rsidR="00EB681B">
        <w:rPr>
          <w:rFonts w:ascii="Times New Roman" w:hAnsi="Times New Roman" w:cs="Baramond"/>
          <w:color w:val="000000" w:themeColor="text1"/>
        </w:rPr>
        <w:t xml:space="preserve">Sesso </w:t>
      </w:r>
      <w:r w:rsidRPr="002949D0">
        <w:rPr>
          <w:rFonts w:ascii="Times New Roman" w:hAnsi="Times New Roman" w:cs="Baramond"/>
          <w:color w:val="000000" w:themeColor="text1"/>
        </w:rPr>
        <w:t>F</w:t>
      </w:r>
      <w:r w:rsidR="00EB681B">
        <w:rPr>
          <w:rFonts w:ascii="Times New Roman" w:hAnsi="Times New Roman" w:cs="Baramond"/>
          <w:color w:val="000000" w:themeColor="text1"/>
        </w:rPr>
        <w:t>ilho</w:t>
      </w:r>
      <w:r w:rsidRPr="002949D0">
        <w:rPr>
          <w:rFonts w:ascii="Times New Roman" w:hAnsi="Times New Roman" w:cs="Baramond"/>
          <w:color w:val="000000" w:themeColor="text1"/>
        </w:rPr>
        <w:t>, 2010)</w:t>
      </w:r>
      <w:r w:rsidRPr="002949D0">
        <w:rPr>
          <w:rFonts w:ascii="Times New Roman" w:hAnsi="Times New Roman" w:cs="Baramond"/>
          <w:color w:val="000000" w:themeColor="text1"/>
        </w:rPr>
        <w:fldChar w:fldCharType="end"/>
      </w:r>
      <w:r w:rsidRPr="002949D0">
        <w:rPr>
          <w:rFonts w:ascii="Times New Roman" w:hAnsi="Times New Roman" w:cs="Baramond"/>
          <w:color w:val="000000" w:themeColor="text1"/>
          <w:vertAlign w:val="superscript"/>
          <w:lang w:eastAsia="pt-BR"/>
        </w:rPr>
        <w:footnoteReference w:id="15"/>
      </w:r>
      <w:r>
        <w:rPr>
          <w:rFonts w:ascii="Times New Roman" w:hAnsi="Times New Roman"/>
          <w:color w:val="000000" w:themeColor="text1"/>
        </w:rPr>
        <w:t>, when it was not considered a key sector.</w:t>
      </w:r>
    </w:p>
    <w:p w14:paraId="46F341D8" w14:textId="77777777" w:rsidR="00A4633B" w:rsidRPr="002949D0" w:rsidRDefault="00A4633B" w:rsidP="002949D0">
      <w:pPr>
        <w:autoSpaceDE w:val="0"/>
        <w:autoSpaceDN w:val="0"/>
        <w:adjustRightInd w:val="0"/>
        <w:spacing w:before="60" w:after="60" w:line="240" w:lineRule="auto"/>
        <w:ind w:firstLine="567"/>
        <w:jc w:val="both"/>
        <w:textAlignment w:val="center"/>
        <w:rPr>
          <w:rFonts w:ascii="Times New Roman" w:hAnsi="Times New Roman" w:cs="Baramond"/>
          <w:color w:val="000000" w:themeColor="text1"/>
          <w:lang w:eastAsia="pt-BR"/>
        </w:rPr>
      </w:pPr>
    </w:p>
    <w:p w14:paraId="12B85BC0" w14:textId="42C9F68F" w:rsidR="00A4633B" w:rsidRPr="002252AD" w:rsidRDefault="00A4633B" w:rsidP="00A4633B">
      <w:pPr>
        <w:pStyle w:val="Grfico"/>
      </w:pPr>
      <w:r>
        <w:t>Figure 6: Average Coefficients of Variation in 2010, 2013, 2016 and 2019</w:t>
      </w:r>
    </w:p>
    <w:p w14:paraId="45A48348" w14:textId="052FEB61" w:rsidR="00A4633B" w:rsidRPr="002F434D" w:rsidRDefault="00FD46FF" w:rsidP="00A4633B">
      <w:pPr>
        <w:pStyle w:val="Corpodetexto"/>
        <w:ind w:firstLine="0"/>
        <w:jc w:val="center"/>
      </w:pPr>
      <w:r>
        <w:rPr>
          <w:noProof/>
        </w:rPr>
        <w:drawing>
          <wp:inline distT="0" distB="0" distL="0" distR="0" wp14:anchorId="1A659606" wp14:editId="43C2B172">
            <wp:extent cx="4362138" cy="2908092"/>
            <wp:effectExtent l="0" t="0" r="0" b="5715"/>
            <wp:docPr id="16377511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775119" name="Imagem 163775119"/>
                    <pic:cNvPicPr/>
                  </pic:nvPicPr>
                  <pic:blipFill>
                    <a:blip r:embed="rId17"/>
                    <a:stretch>
                      <a:fillRect/>
                    </a:stretch>
                  </pic:blipFill>
                  <pic:spPr>
                    <a:xfrm>
                      <a:off x="0" y="0"/>
                      <a:ext cx="4362138" cy="2908092"/>
                    </a:xfrm>
                    <a:prstGeom prst="rect">
                      <a:avLst/>
                    </a:prstGeom>
                  </pic:spPr>
                </pic:pic>
              </a:graphicData>
            </a:graphic>
          </wp:inline>
        </w:drawing>
      </w:r>
    </w:p>
    <w:p w14:paraId="534D3347" w14:textId="77777777" w:rsidR="00A4633B" w:rsidRPr="000E6454" w:rsidRDefault="00A4633B" w:rsidP="00A4633B">
      <w:pPr>
        <w:pStyle w:val="CORPO"/>
        <w:ind w:firstLine="0"/>
        <w:jc w:val="center"/>
        <w:rPr>
          <w:rFonts w:ascii="Times New Roman" w:hAnsi="Times New Roman" w:cs="Times New Roman"/>
          <w:sz w:val="18"/>
          <w:szCs w:val="18"/>
        </w:rPr>
      </w:pPr>
      <w:r>
        <w:rPr>
          <w:rFonts w:ascii="Times New Roman" w:hAnsi="Times New Roman"/>
          <w:sz w:val="18"/>
        </w:rPr>
        <w:t>Source: Original work based on estimated IOTs.</w:t>
      </w:r>
    </w:p>
    <w:p w14:paraId="53B507A1" w14:textId="77777777" w:rsidR="00A4633B" w:rsidRPr="00FF2BD0" w:rsidRDefault="00A4633B" w:rsidP="00A4633B">
      <w:pPr>
        <w:pStyle w:val="CORPO"/>
        <w:ind w:firstLine="0"/>
        <w:jc w:val="center"/>
        <w:rPr>
          <w:rFonts w:ascii="Times New Roman" w:hAnsi="Times New Roman" w:cs="Times New Roman"/>
          <w:sz w:val="18"/>
          <w:szCs w:val="18"/>
        </w:rPr>
      </w:pPr>
    </w:p>
    <w:p w14:paraId="71FCE5F4" w14:textId="730C1476" w:rsidR="00E20945" w:rsidRPr="00E20945" w:rsidRDefault="00E20945" w:rsidP="00E20945">
      <w:pPr>
        <w:tabs>
          <w:tab w:val="center" w:pos="4800"/>
          <w:tab w:val="right" w:pos="9500"/>
        </w:tabs>
        <w:spacing w:after="0" w:line="260" w:lineRule="atLeast"/>
        <w:outlineLvl w:val="2"/>
        <w:rPr>
          <w:rFonts w:ascii="Tahoma" w:eastAsia="Times New Roman" w:hAnsi="Tahoma" w:cs="Tahoma"/>
          <w:b/>
        </w:rPr>
      </w:pPr>
      <w:r>
        <w:rPr>
          <w:rFonts w:ascii="Tahoma" w:hAnsi="Tahoma"/>
          <w:b/>
        </w:rPr>
        <w:t xml:space="preserve">4.2.2. Pure Linkage </w:t>
      </w:r>
      <w:r w:rsidR="004539EE">
        <w:rPr>
          <w:rFonts w:ascii="Tahoma" w:hAnsi="Tahoma"/>
          <w:b/>
        </w:rPr>
        <w:t>Indexes</w:t>
      </w:r>
    </w:p>
    <w:p w14:paraId="0E0EA5E6" w14:textId="77777777" w:rsidR="00E20945" w:rsidRPr="00E20945" w:rsidRDefault="00E20945" w:rsidP="00E20945">
      <w:pPr>
        <w:autoSpaceDE w:val="0"/>
        <w:autoSpaceDN w:val="0"/>
        <w:adjustRightInd w:val="0"/>
        <w:spacing w:after="0" w:line="260" w:lineRule="atLeast"/>
        <w:jc w:val="both"/>
        <w:textAlignment w:val="center"/>
        <w:rPr>
          <w:rFonts w:ascii="Tahoma" w:hAnsi="Tahoma" w:cs="Tahoma"/>
          <w:b/>
          <w:color w:val="000000"/>
          <w:spacing w:val="2"/>
          <w:sz w:val="20"/>
          <w:szCs w:val="20"/>
          <w:lang w:eastAsia="pt-BR"/>
        </w:rPr>
      </w:pPr>
    </w:p>
    <w:p w14:paraId="62FF1D87" w14:textId="2C696291" w:rsidR="00E20945" w:rsidRDefault="00E20945" w:rsidP="00E20945">
      <w:pPr>
        <w:autoSpaceDE w:val="0"/>
        <w:autoSpaceDN w:val="0"/>
        <w:adjustRightInd w:val="0"/>
        <w:spacing w:before="60" w:after="60" w:line="240" w:lineRule="auto"/>
        <w:ind w:firstLine="567"/>
        <w:jc w:val="both"/>
        <w:textAlignment w:val="center"/>
        <w:rPr>
          <w:rFonts w:ascii="Times New Roman" w:hAnsi="Times New Roman"/>
          <w:color w:val="000000"/>
        </w:rPr>
      </w:pPr>
      <w:r>
        <w:rPr>
          <w:rFonts w:ascii="Times New Roman" w:hAnsi="Times New Roman"/>
          <w:color w:val="000000"/>
        </w:rPr>
        <w:t xml:space="preserve">Given the sensitivity of linkage </w:t>
      </w:r>
      <w:r w:rsidR="004539EE">
        <w:rPr>
          <w:rFonts w:ascii="Times New Roman" w:hAnsi="Times New Roman"/>
          <w:color w:val="000000"/>
        </w:rPr>
        <w:t>indexes</w:t>
      </w:r>
      <w:r>
        <w:rPr>
          <w:rFonts w:ascii="Times New Roman" w:hAnsi="Times New Roman"/>
          <w:color w:val="000000"/>
        </w:rPr>
        <w:t xml:space="preserve"> to the size of the producers in each sector, it is also interesting to look at the pure linkage </w:t>
      </w:r>
      <w:r w:rsidR="004539EE">
        <w:rPr>
          <w:rFonts w:ascii="Times New Roman" w:hAnsi="Times New Roman"/>
          <w:color w:val="000000"/>
        </w:rPr>
        <w:t>indexes</w:t>
      </w:r>
      <w:r>
        <w:rPr>
          <w:rFonts w:ascii="Times New Roman" w:hAnsi="Times New Roman"/>
          <w:color w:val="000000"/>
        </w:rPr>
        <w:t xml:space="preserve"> </w:t>
      </w:r>
      <w:r w:rsidRPr="00E20945">
        <w:rPr>
          <w:rFonts w:ascii="Times New Roman" w:hAnsi="Times New Roman" w:cs="Baramond"/>
          <w:color w:val="000000"/>
        </w:rPr>
        <w:fldChar w:fldCharType="begin"/>
      </w:r>
      <w:r w:rsidRPr="00E20945">
        <w:rPr>
          <w:rFonts w:ascii="Times New Roman" w:hAnsi="Times New Roman" w:cs="Baramond"/>
          <w:color w:val="000000"/>
        </w:rPr>
        <w:instrText xml:space="preserve"> ADDIN ZOTERO_ITEM CSL_CITATION {"citationID":"WjEMgFRS","properties":{"formattedCitation":"(GULHOTO et al., 1994)","plainCitation":"(GULHOTO et al., 1994)","dontUpdate":true,"noteIndex":0},"citationItems":[{"id":38,"uris":["http://zotero.org/users/8767809/items/P6F7UK4E",["http://zotero.org/users/8767809/items/P6F7UK4E"]],"itemData":{"id":38,"type":"article-journal","container-title":"Pesquisa e Planejamento Econômico","language":"pt","title":"Índices de Ligações e Setores Chave na Economia Brasileira: 1959-1980","URL":"https://papers.ssrn.com/sol3/papers.cfm?abstract_id=2420472","volume":"24","author":[{"family":"Guilhoto","given":"Joaquim José Martins"},{"family":"Sonis","given":"Michael"},{"family":"Hewings","given":"Geoffrey"},{"family":"Martins","given":"Eduardo"}],"accessed":{"date-parts":[["2021",11,19]]},"issued":{"date-parts":[["1994"]]}}}],"schema":"https://github.com/citation-style-language/schema/raw/master/csl-citation.json"} </w:instrText>
      </w:r>
      <w:r w:rsidRPr="00E20945">
        <w:rPr>
          <w:rFonts w:ascii="Times New Roman" w:hAnsi="Times New Roman" w:cs="Baramond"/>
          <w:color w:val="000000"/>
        </w:rPr>
        <w:fldChar w:fldCharType="separate"/>
      </w:r>
      <w:r w:rsidRPr="00E20945">
        <w:rPr>
          <w:rFonts w:ascii="Times New Roman" w:hAnsi="Times New Roman" w:cs="Baramond"/>
          <w:color w:val="000000"/>
        </w:rPr>
        <w:t>(</w:t>
      </w:r>
      <w:r w:rsidR="00A53F04">
        <w:rPr>
          <w:rFonts w:ascii="Times New Roman" w:hAnsi="Times New Roman" w:cs="Baramond"/>
          <w:color w:val="000000"/>
        </w:rPr>
        <w:t>Guilhoto</w:t>
      </w:r>
      <w:r w:rsidRPr="00E20945">
        <w:rPr>
          <w:rFonts w:ascii="Times New Roman" w:hAnsi="Times New Roman" w:cs="Baramond"/>
          <w:color w:val="000000"/>
        </w:rPr>
        <w:t xml:space="preserve"> </w:t>
      </w:r>
      <w:r w:rsidRPr="00E20945">
        <w:rPr>
          <w:rFonts w:ascii="Times New Roman" w:hAnsi="Times New Roman" w:cs="Baramond"/>
          <w:i/>
          <w:color w:val="000000"/>
        </w:rPr>
        <w:t>et al.</w:t>
      </w:r>
      <w:r w:rsidRPr="00E20945">
        <w:rPr>
          <w:rFonts w:ascii="Times New Roman" w:hAnsi="Times New Roman" w:cs="Baramond"/>
          <w:color w:val="000000"/>
        </w:rPr>
        <w:t>, 1994)</w:t>
      </w:r>
      <w:r w:rsidRPr="00E20945">
        <w:rPr>
          <w:rFonts w:ascii="Times New Roman" w:hAnsi="Times New Roman" w:cs="Baramond"/>
          <w:color w:val="000000"/>
        </w:rPr>
        <w:fldChar w:fldCharType="end"/>
      </w:r>
      <w:r>
        <w:rPr>
          <w:rFonts w:ascii="Times New Roman" w:hAnsi="Times New Roman"/>
          <w:color w:val="000000"/>
        </w:rPr>
        <w:t xml:space="preserve">. </w:t>
      </w:r>
      <w:r w:rsidR="004539EE">
        <w:rPr>
          <w:rFonts w:ascii="Times New Roman" w:hAnsi="Times New Roman"/>
          <w:color w:val="000000"/>
        </w:rPr>
        <w:t>The indexes</w:t>
      </w:r>
      <w:r>
        <w:rPr>
          <w:rFonts w:ascii="Times New Roman" w:hAnsi="Times New Roman"/>
          <w:color w:val="000000"/>
        </w:rPr>
        <w:t>, shown in Figures 7 and 8</w:t>
      </w:r>
      <w:r w:rsidRPr="00E20945">
        <w:rPr>
          <w:rFonts w:ascii="Times New Roman" w:hAnsi="Times New Roman" w:cs="Baramond"/>
          <w:color w:val="000000"/>
          <w:vertAlign w:val="superscript"/>
          <w:lang w:eastAsia="pt-BR"/>
        </w:rPr>
        <w:footnoteReference w:id="16"/>
      </w:r>
      <w:r>
        <w:rPr>
          <w:rFonts w:ascii="Times New Roman" w:hAnsi="Times New Roman"/>
          <w:color w:val="000000"/>
        </w:rPr>
        <w:t xml:space="preserve">, confirms the dynamism of the energy sector – considered a key </w:t>
      </w:r>
      <w:r w:rsidR="00A53F04">
        <w:rPr>
          <w:rFonts w:ascii="Times New Roman" w:hAnsi="Times New Roman"/>
          <w:color w:val="000000"/>
        </w:rPr>
        <w:t>sector</w:t>
      </w:r>
      <w:r>
        <w:rPr>
          <w:rFonts w:ascii="Times New Roman" w:hAnsi="Times New Roman"/>
          <w:color w:val="000000"/>
        </w:rPr>
        <w:t xml:space="preserve"> every year – and its importance mainly on the supply side (</w:t>
      </w:r>
      <m:oMath>
        <m:bar>
          <m:barPr>
            <m:pos m:val="top"/>
            <m:ctrlPr>
              <w:rPr>
                <w:rFonts w:ascii="Cambria Math" w:hAnsi="Cambria Math" w:cs="Baramond"/>
                <w:color w:val="000000"/>
                <w:lang w:eastAsia="pt-BR"/>
              </w:rPr>
            </m:ctrlPr>
          </m:barPr>
          <m:e>
            <m:r>
              <w:rPr>
                <w:rFonts w:ascii="Cambria Math" w:hAnsi="Cambria Math" w:cs="Baramond"/>
                <w:color w:val="000000"/>
                <w:lang w:eastAsia="pt-BR"/>
              </w:rPr>
              <m:t>PFL</m:t>
            </m:r>
          </m:e>
        </m:bar>
      </m:oMath>
      <w:r>
        <w:rPr>
          <w:rFonts w:ascii="Times New Roman" w:hAnsi="Times New Roman"/>
          <w:color w:val="000000"/>
        </w:rPr>
        <w:t xml:space="preserve">), i.e. providing inputs to other industries. Furthermore, it is possible to observe that the decline in production due to the recession of 2015 and 2016 may have affected the indicators analyzed in this work, given the improvement in pure </w:t>
      </w:r>
      <w:r w:rsidR="004539EE">
        <w:rPr>
          <w:rFonts w:ascii="Times New Roman" w:hAnsi="Times New Roman"/>
          <w:color w:val="000000"/>
        </w:rPr>
        <w:t>indexes</w:t>
      </w:r>
      <w:r>
        <w:rPr>
          <w:rFonts w:ascii="Times New Roman" w:hAnsi="Times New Roman"/>
          <w:color w:val="000000"/>
        </w:rPr>
        <w:t xml:space="preserve"> – mainly those of supply – between 2013-2016 and 2016-2019.</w:t>
      </w:r>
    </w:p>
    <w:p w14:paraId="6BA0F23C" w14:textId="1B5891C8" w:rsidR="005405EC" w:rsidRPr="002252AD" w:rsidRDefault="005405EC" w:rsidP="005405EC">
      <w:pPr>
        <w:pStyle w:val="Grfico"/>
      </w:pPr>
      <w:r>
        <w:lastRenderedPageBreak/>
        <w:t>Figure 7: Electricity Sector Linkage Indexes in 2010, 2013, 2016 and 2019</w:t>
      </w:r>
    </w:p>
    <w:p w14:paraId="1879CEAD" w14:textId="5D816B8D" w:rsidR="005405EC" w:rsidRPr="002F434D" w:rsidRDefault="005C246A" w:rsidP="005405EC">
      <w:pPr>
        <w:pStyle w:val="Corpodetexto"/>
        <w:ind w:firstLine="0"/>
        <w:jc w:val="center"/>
      </w:pPr>
      <w:bookmarkStart w:id="3" w:name="_Análise_Inter-Regional"/>
      <w:bookmarkEnd w:id="3"/>
      <w:r>
        <w:rPr>
          <w:noProof/>
        </w:rPr>
        <w:drawing>
          <wp:inline distT="0" distB="0" distL="0" distR="0" wp14:anchorId="4907D651" wp14:editId="3968DAF8">
            <wp:extent cx="4050000" cy="2700000"/>
            <wp:effectExtent l="0" t="0" r="1905" b="5715"/>
            <wp:docPr id="410559203"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0559203" name="Imagem 410559203"/>
                    <pic:cNvPicPr/>
                  </pic:nvPicPr>
                  <pic:blipFill>
                    <a:blip r:embed="rId18"/>
                    <a:stretch>
                      <a:fillRect/>
                    </a:stretch>
                  </pic:blipFill>
                  <pic:spPr>
                    <a:xfrm>
                      <a:off x="0" y="0"/>
                      <a:ext cx="4050000" cy="2700000"/>
                    </a:xfrm>
                    <a:prstGeom prst="rect">
                      <a:avLst/>
                    </a:prstGeom>
                  </pic:spPr>
                </pic:pic>
              </a:graphicData>
            </a:graphic>
          </wp:inline>
        </w:drawing>
      </w:r>
    </w:p>
    <w:p w14:paraId="13FA8576" w14:textId="77777777" w:rsidR="005405EC" w:rsidRPr="002252AD" w:rsidRDefault="005405EC" w:rsidP="005405EC">
      <w:pPr>
        <w:pStyle w:val="CORPO"/>
        <w:ind w:firstLine="0"/>
        <w:jc w:val="center"/>
        <w:rPr>
          <w:rFonts w:ascii="Times New Roman" w:hAnsi="Times New Roman" w:cs="Times New Roman"/>
          <w:sz w:val="18"/>
          <w:szCs w:val="18"/>
        </w:rPr>
      </w:pPr>
      <w:r>
        <w:rPr>
          <w:rFonts w:ascii="Times New Roman" w:hAnsi="Times New Roman"/>
          <w:sz w:val="18"/>
        </w:rPr>
        <w:t>Source: Original work based on estimated IOTs.</w:t>
      </w:r>
    </w:p>
    <w:p w14:paraId="0CDEC5B4" w14:textId="77777777" w:rsidR="005405EC" w:rsidRPr="002252AD" w:rsidRDefault="005405EC" w:rsidP="005405EC">
      <w:pPr>
        <w:pStyle w:val="Corpodetexto"/>
        <w:ind w:firstLine="0"/>
      </w:pPr>
    </w:p>
    <w:p w14:paraId="595348F4" w14:textId="131D2EB4" w:rsidR="005405EC" w:rsidRPr="002252AD" w:rsidRDefault="005405EC" w:rsidP="005405EC">
      <w:pPr>
        <w:pStyle w:val="Grfico"/>
      </w:pPr>
      <w:r>
        <w:t xml:space="preserve">Figure 8: Pure Linkage </w:t>
      </w:r>
      <w:r w:rsidR="004539EE">
        <w:t>Indexes</w:t>
      </w:r>
      <w:r>
        <w:t xml:space="preserve"> of the 68 Sectors in 2010, 2013, 2016 and 2019</w:t>
      </w:r>
    </w:p>
    <w:p w14:paraId="6B22AC2E" w14:textId="76146147" w:rsidR="005405EC" w:rsidRPr="002F434D" w:rsidRDefault="0096370D" w:rsidP="005405EC">
      <w:pPr>
        <w:pStyle w:val="Corpodetexto"/>
        <w:ind w:firstLine="0"/>
        <w:jc w:val="center"/>
      </w:pPr>
      <w:r>
        <w:rPr>
          <w:noProof/>
        </w:rPr>
        <w:drawing>
          <wp:inline distT="0" distB="0" distL="0" distR="0" wp14:anchorId="06E4E62B" wp14:editId="4CEAB5FE">
            <wp:extent cx="4050000" cy="2700000"/>
            <wp:effectExtent l="0" t="0" r="1905" b="5715"/>
            <wp:docPr id="592427252"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2427252" name="Imagem 592427252"/>
                    <pic:cNvPicPr/>
                  </pic:nvPicPr>
                  <pic:blipFill>
                    <a:blip r:embed="rId19"/>
                    <a:stretch>
                      <a:fillRect/>
                    </a:stretch>
                  </pic:blipFill>
                  <pic:spPr>
                    <a:xfrm>
                      <a:off x="0" y="0"/>
                      <a:ext cx="4050000" cy="2700000"/>
                    </a:xfrm>
                    <a:prstGeom prst="rect">
                      <a:avLst/>
                    </a:prstGeom>
                  </pic:spPr>
                </pic:pic>
              </a:graphicData>
            </a:graphic>
          </wp:inline>
        </w:drawing>
      </w:r>
    </w:p>
    <w:p w14:paraId="2C343E00" w14:textId="77777777" w:rsidR="005405EC" w:rsidRPr="002252AD" w:rsidRDefault="005405EC" w:rsidP="005405EC">
      <w:pPr>
        <w:pStyle w:val="CORPO"/>
        <w:ind w:firstLine="0"/>
        <w:jc w:val="center"/>
        <w:rPr>
          <w:rFonts w:ascii="Times New Roman" w:hAnsi="Times New Roman" w:cs="Times New Roman"/>
          <w:sz w:val="18"/>
          <w:szCs w:val="18"/>
        </w:rPr>
      </w:pPr>
      <w:r>
        <w:rPr>
          <w:rFonts w:ascii="Times New Roman" w:hAnsi="Times New Roman"/>
          <w:sz w:val="18"/>
        </w:rPr>
        <w:t>Source: Original work based on estimated IOTs.</w:t>
      </w:r>
    </w:p>
    <w:p w14:paraId="41E57054" w14:textId="77777777" w:rsidR="00E62AFF" w:rsidRDefault="00E62AFF" w:rsidP="00327667">
      <w:pPr>
        <w:pStyle w:val="REFERENCIAS"/>
        <w:spacing w:line="360" w:lineRule="auto"/>
        <w:jc w:val="center"/>
        <w:rPr>
          <w:rFonts w:ascii="Times New Roman" w:hAnsi="Times New Roman" w:cs="Times New Roman"/>
        </w:rPr>
      </w:pPr>
    </w:p>
    <w:p w14:paraId="41437714" w14:textId="0AEC1672" w:rsidR="00291E23" w:rsidRPr="00291E23" w:rsidRDefault="00291E23" w:rsidP="00291E23">
      <w:pPr>
        <w:tabs>
          <w:tab w:val="center" w:pos="4800"/>
          <w:tab w:val="right" w:pos="9500"/>
        </w:tabs>
        <w:spacing w:after="0" w:line="260" w:lineRule="atLeast"/>
        <w:outlineLvl w:val="2"/>
        <w:rPr>
          <w:rFonts w:ascii="Tahoma" w:eastAsia="Times New Roman" w:hAnsi="Tahoma" w:cs="Tahoma"/>
          <w:b/>
        </w:rPr>
      </w:pPr>
      <w:r>
        <w:rPr>
          <w:rFonts w:ascii="Tahoma" w:hAnsi="Tahoma"/>
          <w:b/>
        </w:rPr>
        <w:lastRenderedPageBreak/>
        <w:t>4.2.3. Field of Influence</w:t>
      </w:r>
    </w:p>
    <w:p w14:paraId="543C033F" w14:textId="77777777" w:rsidR="00291E23" w:rsidRPr="00291E23" w:rsidRDefault="00291E23" w:rsidP="00291E23">
      <w:pPr>
        <w:autoSpaceDE w:val="0"/>
        <w:autoSpaceDN w:val="0"/>
        <w:adjustRightInd w:val="0"/>
        <w:spacing w:after="120" w:line="260" w:lineRule="atLeast"/>
        <w:jc w:val="both"/>
        <w:textAlignment w:val="center"/>
        <w:rPr>
          <w:rFonts w:ascii="Tahoma" w:hAnsi="Tahoma" w:cs="Tahoma"/>
          <w:b/>
          <w:color w:val="000000"/>
          <w:lang w:eastAsia="pt-BR"/>
        </w:rPr>
      </w:pPr>
    </w:p>
    <w:p w14:paraId="1D555E95" w14:textId="3994809E" w:rsidR="00291E23" w:rsidRPr="00291E23" w:rsidRDefault="00291E23" w:rsidP="00291E23">
      <w:pPr>
        <w:autoSpaceDE w:val="0"/>
        <w:autoSpaceDN w:val="0"/>
        <w:adjustRightInd w:val="0"/>
        <w:spacing w:before="60" w:after="60" w:line="240" w:lineRule="auto"/>
        <w:ind w:firstLine="567"/>
        <w:jc w:val="both"/>
        <w:textAlignment w:val="center"/>
        <w:rPr>
          <w:rFonts w:ascii="Times New Roman" w:hAnsi="Times New Roman" w:cs="Baramond"/>
          <w:color w:val="000000"/>
        </w:rPr>
      </w:pPr>
      <w:r>
        <w:rPr>
          <w:rFonts w:ascii="Times New Roman" w:hAnsi="Times New Roman"/>
          <w:color w:val="000000"/>
        </w:rPr>
        <w:t xml:space="preserve">Although linkage </w:t>
      </w:r>
      <w:r w:rsidR="004539EE">
        <w:rPr>
          <w:rFonts w:ascii="Times New Roman" w:hAnsi="Times New Roman"/>
          <w:color w:val="000000"/>
        </w:rPr>
        <w:t>indexes</w:t>
      </w:r>
      <w:r>
        <w:rPr>
          <w:rFonts w:ascii="Times New Roman" w:hAnsi="Times New Roman"/>
          <w:color w:val="000000"/>
        </w:rPr>
        <w:t xml:space="preserve"> show the importance of a sector in the economy as a whole, it is difficult to visualize the main linkages through which this occurs </w:t>
      </w:r>
      <w:r w:rsidRPr="00291E23">
        <w:rPr>
          <w:rFonts w:ascii="Times New Roman" w:hAnsi="Times New Roman" w:cs="Baramond"/>
          <w:color w:val="000000"/>
        </w:rPr>
        <w:fldChar w:fldCharType="begin"/>
      </w:r>
      <w:r w:rsidRPr="00291E23">
        <w:rPr>
          <w:rFonts w:ascii="Times New Roman" w:hAnsi="Times New Roman" w:cs="Baramond"/>
          <w:color w:val="000000"/>
        </w:rPr>
        <w:instrText xml:space="preserve"> ADDIN ZOTERO_ITEM CSL_CITATION {"citationID":"Ry9R6WGv","properties":{"formattedCitation":"(VALE; PEROBELLI, 2020)","plainCitation":"(VALE; PEROBELLI, 2020)","dontUpdate":true,"noteIndex":0},"citationItems":[{"id":28,"uris":["http://zotero.org/users/8767809/items/GM4GBX4U",["http://zotero.org/users/8767809/items/GM4GBX4U"]],"itemData":{"id":28,"type":"book","event-place":"Curitiba","language":"pt","number-of-pages":"132","publisher":"Nedur/LATES","publisher-place":"Curitiba","title":"Análise de Insumo-Produto: teoria e aplicações no R","URL":"http://www.nedur.ufpr.br/portal/publicacoes/livros/ip-r/]","author":[{"family":"Vale","given":"Vale","suffix":"Vinícius A"},{"family":"Perobelli","given":"Fernando S"}],"accessed":{"date-parts":[["2021",11,19]]},"issued":{"date-parts":[["2020"]]}}}],"schema":"https://github.com/citation-style-language/schema/raw/master/csl-citation.json"} </w:instrText>
      </w:r>
      <w:r w:rsidRPr="00291E23">
        <w:rPr>
          <w:rFonts w:ascii="Times New Roman" w:hAnsi="Times New Roman" w:cs="Baramond"/>
          <w:color w:val="000000"/>
        </w:rPr>
        <w:fldChar w:fldCharType="separate"/>
      </w:r>
      <w:r w:rsidRPr="00291E23">
        <w:rPr>
          <w:rFonts w:ascii="Times New Roman" w:hAnsi="Times New Roman" w:cs="Baramond"/>
          <w:color w:val="000000"/>
        </w:rPr>
        <w:t>(</w:t>
      </w:r>
      <w:r w:rsidR="008C0D76">
        <w:rPr>
          <w:rFonts w:ascii="Times New Roman" w:hAnsi="Times New Roman" w:cs="Baramond"/>
          <w:color w:val="000000"/>
        </w:rPr>
        <w:t>Vale</w:t>
      </w:r>
      <w:r w:rsidRPr="00291E23">
        <w:rPr>
          <w:rFonts w:ascii="Times New Roman" w:hAnsi="Times New Roman" w:cs="Baramond"/>
          <w:color w:val="000000"/>
        </w:rPr>
        <w:t xml:space="preserve">; </w:t>
      </w:r>
      <w:r w:rsidR="008C0D76">
        <w:rPr>
          <w:rFonts w:ascii="Times New Roman" w:hAnsi="Times New Roman" w:cs="Baramond"/>
          <w:color w:val="000000"/>
        </w:rPr>
        <w:t>Perobelli</w:t>
      </w:r>
      <w:r w:rsidRPr="00291E23">
        <w:rPr>
          <w:rFonts w:ascii="Times New Roman" w:hAnsi="Times New Roman" w:cs="Baramond"/>
          <w:color w:val="000000"/>
        </w:rPr>
        <w:t>, 2020, p. 98)</w:t>
      </w:r>
      <w:r w:rsidRPr="00291E23">
        <w:rPr>
          <w:rFonts w:ascii="Times New Roman" w:hAnsi="Times New Roman" w:cs="Baramond"/>
          <w:color w:val="000000"/>
        </w:rPr>
        <w:fldChar w:fldCharType="end"/>
      </w:r>
      <w:r>
        <w:rPr>
          <w:rFonts w:ascii="Times New Roman" w:hAnsi="Times New Roman"/>
          <w:color w:val="000000"/>
        </w:rPr>
        <w:t>. For this purpose, the field of influence is used.</w:t>
      </w:r>
    </w:p>
    <w:p w14:paraId="5B3A77EC" w14:textId="673F3CCC" w:rsidR="00291E23" w:rsidRDefault="00291E23" w:rsidP="00900EC7">
      <w:pPr>
        <w:autoSpaceDE w:val="0"/>
        <w:autoSpaceDN w:val="0"/>
        <w:adjustRightInd w:val="0"/>
        <w:spacing w:before="60" w:after="60" w:line="240" w:lineRule="auto"/>
        <w:ind w:firstLine="567"/>
        <w:jc w:val="both"/>
        <w:textAlignment w:val="center"/>
        <w:rPr>
          <w:rFonts w:ascii="Times New Roman" w:hAnsi="Times New Roman"/>
          <w:color w:val="000000"/>
        </w:rPr>
      </w:pPr>
      <w:r>
        <w:rPr>
          <w:rFonts w:ascii="Times New Roman" w:hAnsi="Times New Roman"/>
          <w:color w:val="000000"/>
        </w:rPr>
        <w:t>This concept shows how changes in direct requirements – that is, in the matrix of direct technical coefficients (</w:t>
      </w:r>
      <m:oMath>
        <m:r>
          <m:rPr>
            <m:sty m:val="b"/>
          </m:rPr>
          <w:rPr>
            <w:rFonts w:ascii="Cambria Math" w:hAnsi="Cambria Math" w:cs="Baramond"/>
            <w:color w:val="000000"/>
            <w:spacing w:val="-2"/>
            <w:lang w:eastAsia="pt-BR"/>
          </w:rPr>
          <m:t>A</m:t>
        </m:r>
      </m:oMath>
      <w:r>
        <w:rPr>
          <w:rFonts w:ascii="Times New Roman" w:hAnsi="Times New Roman"/>
          <w:color w:val="000000"/>
        </w:rPr>
        <w:t xml:space="preserve">) – are distributed across the economy, allowing the visualization of which intersectoral relationships are the most important among productive activities. Therefore, the field of influence can be calculated from the </w:t>
      </w:r>
      <m:oMath>
        <m:r>
          <m:rPr>
            <m:sty m:val="b"/>
          </m:rPr>
          <w:rPr>
            <w:rFonts w:ascii="Cambria Math" w:hAnsi="Cambria Math" w:cs="Baramond"/>
            <w:color w:val="000000"/>
            <w:spacing w:val="-2"/>
            <w:lang w:eastAsia="pt-BR"/>
          </w:rPr>
          <m:t>A</m:t>
        </m:r>
      </m:oMath>
      <w:r>
        <w:rPr>
          <w:rFonts w:ascii="Times New Roman" w:hAnsi="Times New Roman"/>
          <w:color w:val="000000"/>
        </w:rPr>
        <w:t xml:space="preserve"> matrix and a matrix of increments </w:t>
      </w:r>
      <m:oMath>
        <m:sSub>
          <m:sSubPr>
            <m:ctrlPr>
              <w:rPr>
                <w:rFonts w:ascii="Cambria Math" w:hAnsi="Cambria Math" w:cs="Baramond"/>
                <w:color w:val="000000"/>
                <w:spacing w:val="-2"/>
                <w:lang w:eastAsia="pt-BR"/>
              </w:rPr>
            </m:ctrlPr>
          </m:sSubPr>
          <m:e>
            <m:r>
              <m:rPr>
                <m:sty m:val="b"/>
              </m:rPr>
              <w:rPr>
                <w:rFonts w:ascii="Cambria Math" w:hAnsi="Cambria Math" w:cs="Baramond"/>
                <w:color w:val="000000"/>
                <w:spacing w:val="-2"/>
                <w:lang w:eastAsia="pt-BR"/>
              </w:rPr>
              <m:t>E</m:t>
            </m:r>
          </m:e>
          <m:sub>
            <m:r>
              <w:rPr>
                <w:rFonts w:ascii="Cambria Math" w:hAnsi="Cambria Math" w:cs="Baramond"/>
                <w:color w:val="000000"/>
                <w:spacing w:val="-2"/>
                <w:lang w:eastAsia="pt-BR"/>
              </w:rPr>
              <m:t>n</m:t>
            </m:r>
            <m:r>
              <m:rPr>
                <m:sty m:val="p"/>
              </m:rPr>
              <w:rPr>
                <w:rFonts w:ascii="Cambria Math" w:hAnsi="Cambria Math" w:cs="Baramond"/>
                <w:color w:val="000000"/>
                <w:spacing w:val="-2"/>
                <w:lang w:eastAsia="pt-BR"/>
              </w:rPr>
              <m:t>×</m:t>
            </m:r>
            <m:r>
              <w:rPr>
                <w:rFonts w:ascii="Cambria Math" w:hAnsi="Cambria Math" w:cs="Baramond"/>
                <w:color w:val="000000"/>
                <w:spacing w:val="-2"/>
                <w:lang w:eastAsia="pt-BR"/>
              </w:rPr>
              <m:t>n</m:t>
            </m:r>
          </m:sub>
        </m:sSub>
        <m:r>
          <m:rPr>
            <m:sty m:val="p"/>
          </m:rPr>
          <w:rPr>
            <w:rFonts w:ascii="Cambria Math" w:hAnsi="Cambria Math" w:cs="Baramond"/>
            <w:color w:val="000000"/>
            <w:spacing w:val="-2"/>
            <w:lang w:eastAsia="pt-BR"/>
          </w:rPr>
          <m:t>=</m:t>
        </m:r>
        <m:d>
          <m:dPr>
            <m:ctrlPr>
              <w:rPr>
                <w:rFonts w:ascii="Cambria Math" w:hAnsi="Cambria Math" w:cs="Baramond"/>
                <w:color w:val="000000"/>
                <w:spacing w:val="-2"/>
                <w:lang w:eastAsia="pt-BR"/>
              </w:rPr>
            </m:ctrlPr>
          </m:dPr>
          <m:e>
            <m:m>
              <m:mPr>
                <m:plcHide m:val="1"/>
                <m:mcs>
                  <m:mc>
                    <m:mcPr>
                      <m:count m:val="1"/>
                      <m:mcJc m:val="center"/>
                    </m:mcPr>
                  </m:mc>
                </m:mcs>
                <m:ctrlPr>
                  <w:rPr>
                    <w:rFonts w:ascii="Cambria Math" w:hAnsi="Cambria Math" w:cs="Baramond"/>
                    <w:color w:val="000000"/>
                    <w:spacing w:val="-2"/>
                    <w:lang w:eastAsia="pt-BR"/>
                  </w:rPr>
                </m:ctrlPr>
              </m:mPr>
              <m:mr>
                <m:e>
                  <m:sSub>
                    <m:sSubPr>
                      <m:ctrlPr>
                        <w:rPr>
                          <w:rFonts w:ascii="Cambria Math" w:hAnsi="Cambria Math" w:cs="Baramond"/>
                          <w:color w:val="000000"/>
                          <w:spacing w:val="-2"/>
                          <w:lang w:eastAsia="pt-BR"/>
                        </w:rPr>
                      </m:ctrlPr>
                    </m:sSubPr>
                    <m:e>
                      <m:r>
                        <w:rPr>
                          <w:rFonts w:ascii="Cambria Math" w:hAnsi="Cambria Math" w:cs="Baramond"/>
                          <w:color w:val="000000"/>
                          <w:spacing w:val="-2"/>
                          <w:lang w:eastAsia="pt-BR"/>
                        </w:rPr>
                        <m:t>ε</m:t>
                      </m:r>
                    </m:e>
                    <m:sub>
                      <m:r>
                        <w:rPr>
                          <w:rFonts w:ascii="Cambria Math" w:hAnsi="Cambria Math" w:cs="Baramond"/>
                          <w:color w:val="000000"/>
                          <w:spacing w:val="-2"/>
                          <w:lang w:eastAsia="pt-BR"/>
                        </w:rPr>
                        <m:t>ij</m:t>
                      </m:r>
                    </m:sub>
                  </m:sSub>
                </m:e>
              </m:mr>
            </m:m>
          </m:e>
        </m:d>
      </m:oMath>
      <w:r>
        <w:rPr>
          <w:rFonts w:ascii="Times New Roman" w:hAnsi="Times New Roman"/>
          <w:color w:val="000000"/>
        </w:rPr>
        <w:t xml:space="preserve">. For each intersectoral relationship </w:t>
      </w:r>
      <m:oMath>
        <m:r>
          <m:rPr>
            <m:sty m:val="p"/>
          </m:rPr>
          <w:rPr>
            <w:rFonts w:ascii="Cambria Math" w:hAnsi="Cambria Math" w:cs="Baramond"/>
            <w:color w:val="000000"/>
            <w:spacing w:val="-2"/>
            <w:lang w:eastAsia="pt-BR"/>
          </w:rPr>
          <m:t>(</m:t>
        </m:r>
        <m:r>
          <w:rPr>
            <w:rFonts w:ascii="Cambria Math" w:hAnsi="Cambria Math" w:cs="Baramond"/>
            <w:color w:val="000000"/>
            <w:spacing w:val="-2"/>
            <w:lang w:eastAsia="pt-BR"/>
          </w:rPr>
          <m:t>kl</m:t>
        </m:r>
        <m:r>
          <m:rPr>
            <m:sty m:val="p"/>
          </m:rPr>
          <w:rPr>
            <w:rFonts w:ascii="Cambria Math" w:hAnsi="Cambria Math" w:cs="Baramond"/>
            <w:color w:val="000000"/>
            <w:spacing w:val="-2"/>
            <w:lang w:eastAsia="pt-BR"/>
          </w:rPr>
          <m:t>)</m:t>
        </m:r>
      </m:oMath>
      <w:r>
        <w:rPr>
          <w:rFonts w:ascii="Times New Roman" w:hAnsi="Times New Roman"/>
          <w:color w:val="000000"/>
        </w:rPr>
        <w:t xml:space="preserve">, </w:t>
      </w:r>
      <m:oMath>
        <m:r>
          <m:rPr>
            <m:sty m:val="b"/>
          </m:rPr>
          <w:rPr>
            <w:rFonts w:ascii="Cambria Math" w:hAnsi="Cambria Math" w:cs="Baramond"/>
            <w:color w:val="000000"/>
            <w:spacing w:val="-2"/>
            <w:lang w:eastAsia="pt-BR"/>
          </w:rPr>
          <m:t>E</m:t>
        </m:r>
      </m:oMath>
      <w:r>
        <w:rPr>
          <w:rFonts w:ascii="Times New Roman" w:hAnsi="Times New Roman"/>
          <w:color w:val="000000"/>
        </w:rPr>
        <w:t xml:space="preserve"> is calculated as follows:</w:t>
      </w:r>
    </w:p>
    <w:p w14:paraId="72C214CE" w14:textId="05128A6A" w:rsidR="00900EC7" w:rsidRPr="007610E0" w:rsidRDefault="00000000" w:rsidP="00900EC7">
      <w:pPr>
        <w:autoSpaceDE w:val="0"/>
        <w:autoSpaceDN w:val="0"/>
        <w:adjustRightInd w:val="0"/>
        <w:spacing w:before="60" w:after="60" w:line="240" w:lineRule="auto"/>
        <w:jc w:val="both"/>
        <w:textAlignment w:val="center"/>
        <w:rPr>
          <w:rFonts w:ascii="Times New Roman" w:hAnsi="Times New Roman"/>
          <w:color w:val="000000"/>
        </w:rPr>
      </w:pPr>
      <m:oMathPara>
        <m:oMath>
          <m:eqArr>
            <m:eqArrPr>
              <m:maxDist m:val="1"/>
              <m:ctrlPr>
                <w:rPr>
                  <w:rFonts w:ascii="Cambria Math" w:hAnsi="Cambria Math"/>
                  <w:i/>
                  <w:color w:val="000000"/>
                </w:rPr>
              </m:ctrlPr>
            </m:eqArrPr>
            <m:e>
              <m:sSub>
                <m:sSubPr>
                  <m:ctrlPr>
                    <w:rPr>
                      <w:rFonts w:ascii="Cambria Math" w:hAnsi="Cambria Math"/>
                      <w:i/>
                      <w:color w:val="000000"/>
                    </w:rPr>
                  </m:ctrlPr>
                </m:sSubPr>
                <m:e>
                  <m:r>
                    <w:rPr>
                      <w:rFonts w:ascii="Cambria Math" w:hAnsi="Cambria Math"/>
                      <w:color w:val="000000"/>
                    </w:rPr>
                    <m:t>ε</m:t>
                  </m:r>
                </m:e>
                <m:sub>
                  <m:r>
                    <w:rPr>
                      <w:rFonts w:ascii="Cambria Math" w:hAnsi="Cambria Math"/>
                      <w:color w:val="000000"/>
                    </w:rPr>
                    <m:t>ij</m:t>
                  </m:r>
                </m:sub>
              </m:sSub>
              <m:r>
                <w:rPr>
                  <w:rFonts w:ascii="Cambria Math" w:hAnsi="Cambria Math"/>
                  <w:color w:val="000000"/>
                </w:rPr>
                <m:t>=</m:t>
              </m:r>
              <m:d>
                <m:dPr>
                  <m:begChr m:val="{"/>
                  <m:endChr m:val=""/>
                  <m:ctrlPr>
                    <w:rPr>
                      <w:rFonts w:ascii="Cambria Math" w:hAnsi="Cambria Math"/>
                      <w:i/>
                      <w:color w:val="000000"/>
                    </w:rPr>
                  </m:ctrlPr>
                </m:dPr>
                <m:e>
                  <m:eqArr>
                    <m:eqArrPr>
                      <m:ctrlPr>
                        <w:rPr>
                          <w:rFonts w:ascii="Cambria Math" w:hAnsi="Cambria Math"/>
                          <w:i/>
                          <w:color w:val="000000"/>
                        </w:rPr>
                      </m:ctrlPr>
                    </m:eqArrPr>
                    <m:e>
                      <m:r>
                        <w:rPr>
                          <w:rFonts w:ascii="Cambria Math" w:hAnsi="Cambria Math"/>
                          <w:color w:val="000000"/>
                        </w:rPr>
                        <m:t>ε, i=k,</m:t>
                      </m:r>
                      <m:r>
                        <m:rPr>
                          <m:sty m:val="p"/>
                        </m:rPr>
                        <w:rPr>
                          <w:rFonts w:ascii="Cambria Math" w:hAnsi="Cambria Math"/>
                          <w:color w:val="000000"/>
                        </w:rPr>
                        <m:t xml:space="preserve"> </m:t>
                      </m:r>
                      <m:r>
                        <w:rPr>
                          <w:rFonts w:ascii="Cambria Math" w:hAnsi="Cambria Math"/>
                          <w:color w:val="000000"/>
                        </w:rPr>
                        <m:t>j=l</m:t>
                      </m:r>
                    </m:e>
                    <m:e>
                      <m:r>
                        <w:rPr>
                          <w:rFonts w:ascii="Cambria Math" w:hAnsi="Cambria Math"/>
                          <w:color w:val="000000"/>
                        </w:rPr>
                        <m:t xml:space="preserve">0, </m:t>
                      </m:r>
                      <m:r>
                        <m:rPr>
                          <m:sty m:val="p"/>
                        </m:rPr>
                        <w:rPr>
                          <w:rFonts w:ascii="Cambria Math" w:hAnsi="Cambria Math"/>
                          <w:color w:val="000000"/>
                        </w:rPr>
                        <m:t>otherwise</m:t>
                      </m:r>
                    </m:e>
                  </m:eqArr>
                </m:e>
              </m:d>
              <m:r>
                <w:rPr>
                  <w:rFonts w:ascii="Cambria Math" w:hAnsi="Cambria Math"/>
                  <w:color w:val="000000"/>
                </w:rPr>
                <m:t xml:space="preserve"> #</m:t>
              </m:r>
              <m:d>
                <m:dPr>
                  <m:ctrlPr>
                    <w:rPr>
                      <w:rFonts w:ascii="Cambria Math" w:hAnsi="Cambria Math"/>
                      <w:i/>
                      <w:color w:val="000000"/>
                    </w:rPr>
                  </m:ctrlPr>
                </m:dPr>
                <m:e>
                  <m:r>
                    <w:rPr>
                      <w:rFonts w:ascii="Cambria Math" w:hAnsi="Cambria Math"/>
                      <w:color w:val="000000"/>
                    </w:rPr>
                    <m:t>4</m:t>
                  </m:r>
                </m:e>
              </m:d>
            </m:e>
          </m:eqArr>
        </m:oMath>
      </m:oMathPara>
    </w:p>
    <w:p w14:paraId="4A1BEE97" w14:textId="77777777" w:rsidR="00900EC7" w:rsidRPr="00900EC7" w:rsidRDefault="00900EC7" w:rsidP="00900EC7">
      <w:pPr>
        <w:autoSpaceDE w:val="0"/>
        <w:autoSpaceDN w:val="0"/>
        <w:adjustRightInd w:val="0"/>
        <w:spacing w:before="60" w:after="60" w:line="240" w:lineRule="auto"/>
        <w:ind w:firstLine="567"/>
        <w:jc w:val="both"/>
        <w:textAlignment w:val="center"/>
        <w:rPr>
          <w:rFonts w:ascii="Times New Roman" w:hAnsi="Times New Roman"/>
          <w:color w:val="000000"/>
        </w:rPr>
      </w:pPr>
    </w:p>
    <w:p w14:paraId="6D177605" w14:textId="3310B380" w:rsidR="00291E23" w:rsidRPr="00291E23" w:rsidRDefault="00291E23" w:rsidP="00291E23">
      <w:pPr>
        <w:autoSpaceDE w:val="0"/>
        <w:autoSpaceDN w:val="0"/>
        <w:adjustRightInd w:val="0"/>
        <w:spacing w:before="60" w:after="60" w:line="240" w:lineRule="auto"/>
        <w:jc w:val="both"/>
        <w:textAlignment w:val="center"/>
        <w:rPr>
          <w:rFonts w:ascii="Times New Roman" w:hAnsi="Times New Roman" w:cs="Baramond"/>
          <w:color w:val="000000"/>
        </w:rPr>
      </w:pPr>
      <w:r>
        <w:rPr>
          <w:rFonts w:ascii="Times New Roman" w:hAnsi="Times New Roman"/>
          <w:color w:val="000000"/>
        </w:rPr>
        <w:t xml:space="preserve">where </w:t>
      </w:r>
      <m:oMath>
        <m:r>
          <w:rPr>
            <w:rFonts w:ascii="Cambria Math" w:hAnsi="Cambria Math"/>
            <w:color w:val="000000"/>
          </w:rPr>
          <m:t>ε</m:t>
        </m:r>
      </m:oMath>
      <w:r>
        <w:rPr>
          <w:rFonts w:ascii="Times New Roman" w:hAnsi="Times New Roman"/>
          <w:color w:val="000000"/>
        </w:rPr>
        <w:t xml:space="preserve"> is a positive and small number – </w:t>
      </w:r>
      <w:r w:rsidR="007610E0">
        <w:rPr>
          <w:rFonts w:ascii="Times New Roman" w:hAnsi="Times New Roman"/>
          <w:color w:val="000000"/>
        </w:rPr>
        <w:t>here</w:t>
      </w:r>
      <w:r>
        <w:rPr>
          <w:rFonts w:ascii="Times New Roman" w:hAnsi="Times New Roman"/>
          <w:color w:val="000000"/>
        </w:rPr>
        <w:t xml:space="preserve">, </w:t>
      </w:r>
      <m:oMath>
        <m:r>
          <w:rPr>
            <w:rFonts w:ascii="Cambria Math" w:hAnsi="Cambria Math" w:cs="Baramond"/>
            <w:color w:val="000000"/>
            <w:lang w:eastAsia="pt-BR"/>
          </w:rPr>
          <m:t>ε</m:t>
        </m:r>
        <m:r>
          <m:rPr>
            <m:sty m:val="p"/>
          </m:rPr>
          <w:rPr>
            <w:rFonts w:ascii="Cambria Math" w:hAnsi="Cambria Math" w:cs="Baramond"/>
            <w:color w:val="000000"/>
            <w:lang w:eastAsia="pt-BR"/>
          </w:rPr>
          <m:t>=</m:t>
        </m:r>
        <m:r>
          <w:rPr>
            <w:rFonts w:ascii="Cambria Math" w:hAnsi="Cambria Math" w:cs="Baramond"/>
            <w:color w:val="000000"/>
            <w:lang w:eastAsia="pt-BR"/>
          </w:rPr>
          <m:t>0</m:t>
        </m:r>
        <m:r>
          <m:rPr>
            <m:sty m:val="p"/>
          </m:rPr>
          <w:rPr>
            <w:rFonts w:ascii="Cambria Math" w:hAnsi="Cambria Math" w:cs="Baramond"/>
            <w:color w:val="000000"/>
            <w:lang w:eastAsia="pt-BR"/>
          </w:rPr>
          <m:t>,</m:t>
        </m:r>
        <m:r>
          <w:rPr>
            <w:rFonts w:ascii="Cambria Math" w:hAnsi="Cambria Math" w:cs="Baramond"/>
            <w:color w:val="000000"/>
            <w:lang w:eastAsia="pt-BR"/>
          </w:rPr>
          <m:t>001</m:t>
        </m:r>
      </m:oMath>
      <w:r>
        <w:rPr>
          <w:rFonts w:ascii="Times New Roman" w:hAnsi="Times New Roman"/>
          <w:color w:val="000000"/>
        </w:rPr>
        <w:t xml:space="preserve">. Note that </w:t>
      </w:r>
      <m:oMath>
        <m:r>
          <m:rPr>
            <m:sty m:val="b"/>
          </m:rPr>
          <w:rPr>
            <w:rFonts w:ascii="Cambria Math" w:hAnsi="Cambria Math" w:cs="Baramond"/>
            <w:color w:val="000000"/>
            <w:lang w:eastAsia="pt-BR"/>
          </w:rPr>
          <m:t>E</m:t>
        </m:r>
      </m:oMath>
      <w:r>
        <w:rPr>
          <w:rFonts w:ascii="Times New Roman" w:hAnsi="Times New Roman"/>
          <w:color w:val="000000"/>
        </w:rPr>
        <w:t xml:space="preserve"> will always have only one element other than 0.</w:t>
      </w:r>
    </w:p>
    <w:p w14:paraId="38177D20" w14:textId="77777777" w:rsidR="00291E23" w:rsidRPr="00291E23" w:rsidRDefault="00291E23" w:rsidP="00291E23">
      <w:pPr>
        <w:autoSpaceDE w:val="0"/>
        <w:autoSpaceDN w:val="0"/>
        <w:adjustRightInd w:val="0"/>
        <w:spacing w:before="60" w:after="60" w:line="240" w:lineRule="auto"/>
        <w:ind w:firstLine="567"/>
        <w:jc w:val="both"/>
        <w:textAlignment w:val="center"/>
        <w:rPr>
          <w:rFonts w:ascii="Times New Roman" w:hAnsi="Times New Roman" w:cs="Baramond"/>
          <w:color w:val="000000"/>
        </w:rPr>
      </w:pPr>
      <w:r>
        <w:rPr>
          <w:rFonts w:ascii="Times New Roman" w:hAnsi="Times New Roman"/>
          <w:color w:val="000000"/>
        </w:rPr>
        <w:t xml:space="preserve">Thus, it is possible to create, for each intersectoral relationship </w:t>
      </w:r>
      <m:oMath>
        <m:r>
          <m:rPr>
            <m:sty m:val="p"/>
          </m:rPr>
          <w:rPr>
            <w:rFonts w:ascii="Cambria Math" w:hAnsi="Cambria Math" w:cs="Baramond"/>
            <w:color w:val="000000"/>
            <w:lang w:eastAsia="pt-BR"/>
          </w:rPr>
          <m:t>(</m:t>
        </m:r>
        <m:r>
          <w:rPr>
            <w:rFonts w:ascii="Cambria Math" w:hAnsi="Cambria Math" w:cs="Baramond"/>
            <w:color w:val="000000"/>
            <w:lang w:eastAsia="pt-BR"/>
          </w:rPr>
          <m:t>k</m:t>
        </m:r>
      </m:oMath>
      <w:r>
        <w:rPr>
          <w:rFonts w:ascii="Times New Roman" w:hAnsi="Times New Roman"/>
          <w:color w:val="000000"/>
        </w:rPr>
        <w:t xml:space="preserve">, </w:t>
      </w:r>
      <m:oMath>
        <m:r>
          <w:rPr>
            <w:rFonts w:ascii="Cambria Math" w:hAnsi="Cambria Math" w:cs="Baramond"/>
            <w:color w:val="000000"/>
            <w:lang w:eastAsia="pt-BR"/>
          </w:rPr>
          <m:t>l</m:t>
        </m:r>
        <m:r>
          <m:rPr>
            <m:sty m:val="p"/>
          </m:rPr>
          <w:rPr>
            <w:rFonts w:ascii="Cambria Math" w:hAnsi="Cambria Math" w:cs="Baramond"/>
            <w:color w:val="000000"/>
            <w:lang w:eastAsia="pt-BR"/>
          </w:rPr>
          <m:t>)</m:t>
        </m:r>
      </m:oMath>
      <w:r>
        <w:rPr>
          <w:rFonts w:ascii="Times New Roman" w:hAnsi="Times New Roman"/>
          <w:color w:val="000000"/>
        </w:rPr>
        <w:t xml:space="preserve">, a new matrix of total requirements </w:t>
      </w:r>
      <m:oMath>
        <m:r>
          <m:rPr>
            <m:sty m:val="b"/>
          </m:rPr>
          <w:rPr>
            <w:rFonts w:ascii="Cambria Math" w:hAnsi="Cambria Math" w:cs="Baramond"/>
            <w:color w:val="000000"/>
            <w:lang w:eastAsia="pt-BR"/>
          </w:rPr>
          <m:t>B(E)</m:t>
        </m:r>
        <m:r>
          <m:rPr>
            <m:sty m:val="p"/>
          </m:rPr>
          <w:rPr>
            <w:rFonts w:ascii="Cambria Math" w:hAnsi="Cambria Math" w:cs="Baramond"/>
            <w:color w:val="000000"/>
            <w:lang w:eastAsia="pt-BR"/>
          </w:rPr>
          <m:t>=[</m:t>
        </m:r>
        <m:r>
          <m:rPr>
            <m:sty m:val="b"/>
          </m:rPr>
          <w:rPr>
            <w:rFonts w:ascii="Cambria Math" w:hAnsi="Cambria Math" w:cs="Baramond"/>
            <w:color w:val="000000"/>
            <w:lang w:eastAsia="pt-BR"/>
          </w:rPr>
          <m:t>I</m:t>
        </m:r>
        <m:r>
          <m:rPr>
            <m:sty m:val="p"/>
          </m:rPr>
          <w:rPr>
            <w:rFonts w:ascii="Cambria Math" w:hAnsi="Cambria Math" w:cs="Baramond"/>
            <w:color w:val="000000"/>
            <w:lang w:eastAsia="pt-BR"/>
          </w:rPr>
          <m:t>-(</m:t>
        </m:r>
        <m:r>
          <m:rPr>
            <m:sty m:val="b"/>
          </m:rPr>
          <w:rPr>
            <w:rFonts w:ascii="Cambria Math" w:hAnsi="Cambria Math" w:cs="Baramond"/>
            <w:color w:val="000000"/>
            <w:lang w:eastAsia="pt-BR"/>
          </w:rPr>
          <m:t>A</m:t>
        </m:r>
        <m:r>
          <m:rPr>
            <m:sty m:val="p"/>
          </m:rPr>
          <w:rPr>
            <w:rFonts w:ascii="Cambria Math" w:hAnsi="Cambria Math" w:cs="Baramond"/>
            <w:color w:val="000000"/>
            <w:lang w:eastAsia="pt-BR"/>
          </w:rPr>
          <m:t>+</m:t>
        </m:r>
        <m:r>
          <m:rPr>
            <m:sty m:val="b"/>
          </m:rPr>
          <w:rPr>
            <w:rFonts w:ascii="Cambria Math" w:hAnsi="Cambria Math" w:cs="Baramond"/>
            <w:color w:val="000000"/>
            <w:lang w:eastAsia="pt-BR"/>
          </w:rPr>
          <m:t>E</m:t>
        </m:r>
        <m:r>
          <m:rPr>
            <m:sty m:val="p"/>
          </m:rPr>
          <w:rPr>
            <w:rFonts w:ascii="Cambria Math" w:hAnsi="Cambria Math" w:cs="Baramond"/>
            <w:color w:val="000000"/>
            <w:lang w:eastAsia="pt-BR"/>
          </w:rPr>
          <m:t>)</m:t>
        </m:r>
        <m:sSup>
          <m:sSupPr>
            <m:ctrlPr>
              <w:rPr>
                <w:rFonts w:ascii="Cambria Math" w:hAnsi="Cambria Math" w:cs="Baramond"/>
                <w:color w:val="000000"/>
                <w:lang w:eastAsia="pt-BR"/>
              </w:rPr>
            </m:ctrlPr>
          </m:sSupPr>
          <m:e>
            <m:r>
              <m:rPr>
                <m:sty m:val="p"/>
              </m:rPr>
              <w:rPr>
                <w:rFonts w:ascii="Cambria Math" w:hAnsi="Cambria Math" w:cs="Baramond"/>
                <w:color w:val="000000"/>
                <w:lang w:eastAsia="pt-BR"/>
              </w:rPr>
              <m:t>]</m:t>
            </m:r>
          </m:e>
          <m:sup>
            <m:r>
              <m:rPr>
                <m:sty m:val="p"/>
              </m:rPr>
              <w:rPr>
                <w:rFonts w:ascii="Cambria Math" w:hAnsi="Cambria Math" w:cs="Baramond"/>
                <w:color w:val="000000"/>
                <w:lang w:eastAsia="pt-BR"/>
              </w:rPr>
              <m:t>-</m:t>
            </m:r>
            <m:r>
              <w:rPr>
                <w:rFonts w:ascii="Cambria Math" w:hAnsi="Cambria Math" w:cs="Baramond"/>
                <w:color w:val="000000"/>
                <w:lang w:eastAsia="pt-BR"/>
              </w:rPr>
              <m:t>1</m:t>
            </m:r>
          </m:sup>
        </m:sSup>
      </m:oMath>
      <w:r>
        <w:rPr>
          <w:rFonts w:ascii="Times New Roman" w:hAnsi="Times New Roman"/>
          <w:color w:val="000000"/>
        </w:rPr>
        <w:t xml:space="preserve">. The field of influence matrix </w:t>
      </w:r>
      <m:oMath>
        <m:r>
          <m:rPr>
            <m:sty m:val="b"/>
          </m:rPr>
          <w:rPr>
            <w:rFonts w:ascii="Cambria Math" w:hAnsi="Cambria Math" w:cs="Baramond"/>
            <w:color w:val="000000"/>
            <w:lang w:eastAsia="pt-BR"/>
          </w:rPr>
          <m:t>F</m:t>
        </m:r>
      </m:oMath>
      <w:r>
        <w:rPr>
          <w:rFonts w:ascii="Times New Roman" w:hAnsi="Times New Roman"/>
          <w:color w:val="000000"/>
        </w:rPr>
        <w:t xml:space="preserve"> for each relationship </w:t>
      </w:r>
      <m:oMath>
        <m:r>
          <m:rPr>
            <m:sty m:val="p"/>
          </m:rPr>
          <w:rPr>
            <w:rFonts w:ascii="Cambria Math" w:hAnsi="Cambria Math" w:cs="Baramond"/>
            <w:color w:val="000000"/>
            <w:lang w:eastAsia="pt-BR"/>
          </w:rPr>
          <m:t>(</m:t>
        </m:r>
        <m:r>
          <w:rPr>
            <w:rFonts w:ascii="Cambria Math" w:hAnsi="Cambria Math" w:cs="Baramond"/>
            <w:color w:val="000000"/>
            <w:lang w:eastAsia="pt-BR"/>
          </w:rPr>
          <m:t>k</m:t>
        </m:r>
      </m:oMath>
      <w:r>
        <w:t xml:space="preserve">, </w:t>
      </w:r>
      <m:oMath>
        <m:r>
          <w:rPr>
            <w:rFonts w:ascii="Cambria Math" w:hAnsi="Cambria Math" w:cs="Baramond"/>
            <w:color w:val="000000"/>
            <w:lang w:eastAsia="pt-BR"/>
          </w:rPr>
          <m:t>l</m:t>
        </m:r>
        <m:r>
          <m:rPr>
            <m:sty m:val="p"/>
          </m:rPr>
          <w:rPr>
            <w:rFonts w:ascii="Cambria Math" w:hAnsi="Cambria Math" w:cs="Baramond"/>
            <w:color w:val="000000"/>
            <w:lang w:eastAsia="pt-BR"/>
          </w:rPr>
          <m:t>)</m:t>
        </m:r>
      </m:oMath>
      <w:r>
        <w:rPr>
          <w:rFonts w:ascii="Times New Roman" w:hAnsi="Times New Roman"/>
          <w:color w:val="000000"/>
        </w:rPr>
        <w:t xml:space="preserve"> will be:</w:t>
      </w:r>
    </w:p>
    <w:p w14:paraId="78281042" w14:textId="77777777" w:rsidR="00291E23" w:rsidRPr="00291E23" w:rsidRDefault="00291E23" w:rsidP="00291E23">
      <w:pPr>
        <w:autoSpaceDE w:val="0"/>
        <w:autoSpaceDN w:val="0"/>
        <w:adjustRightInd w:val="0"/>
        <w:spacing w:before="60" w:after="60" w:line="240" w:lineRule="auto"/>
        <w:ind w:firstLine="567"/>
        <w:jc w:val="both"/>
        <w:textAlignment w:val="center"/>
        <w:rPr>
          <w:rFonts w:ascii="Times New Roman" w:hAnsi="Times New Roman" w:cs="Baramond"/>
          <w:color w:val="000000"/>
          <w:lang w:eastAsia="pt-BR"/>
        </w:rPr>
      </w:pPr>
    </w:p>
    <w:p w14:paraId="3404B9CD" w14:textId="77777777" w:rsidR="00291E23" w:rsidRPr="00291E23" w:rsidRDefault="00000000" w:rsidP="00291E23">
      <w:pPr>
        <w:autoSpaceDE w:val="0"/>
        <w:autoSpaceDN w:val="0"/>
        <w:adjustRightInd w:val="0"/>
        <w:spacing w:before="60" w:after="60" w:line="240" w:lineRule="auto"/>
        <w:ind w:firstLine="567"/>
        <w:jc w:val="both"/>
        <w:textAlignment w:val="center"/>
        <w:rPr>
          <w:rFonts w:ascii="Times New Roman" w:eastAsiaTheme="minorEastAsia" w:hAnsi="Times New Roman" w:cs="Baramond"/>
          <w:color w:val="000000"/>
        </w:rPr>
      </w:pPr>
      <m:oMathPara>
        <m:oMath>
          <m:eqArr>
            <m:eqArrPr>
              <m:maxDist m:val="1"/>
              <m:ctrlPr>
                <w:rPr>
                  <w:rFonts w:ascii="Cambria Math" w:hAnsi="Cambria Math" w:cs="Baramond"/>
                  <w:color w:val="000000"/>
                  <w:sz w:val="20"/>
                  <w:lang w:eastAsia="pt-BR"/>
                </w:rPr>
              </m:ctrlPr>
            </m:eqArrPr>
            <m:e>
              <m:r>
                <m:rPr>
                  <m:sty m:val="bi"/>
                </m:rPr>
                <w:rPr>
                  <w:rFonts w:ascii="Cambria Math" w:hAnsi="Cambria Math" w:cs="Baramond"/>
                  <w:color w:val="000000"/>
                  <w:sz w:val="20"/>
                  <w:lang w:eastAsia="pt-BR"/>
                </w:rPr>
                <m:t>F</m:t>
              </m:r>
              <m:sSub>
                <m:sSubPr>
                  <m:ctrlPr>
                    <w:rPr>
                      <w:rFonts w:ascii="Cambria Math" w:hAnsi="Cambria Math" w:cs="Baramond"/>
                      <w:color w:val="000000"/>
                      <w:sz w:val="20"/>
                      <w:lang w:eastAsia="pt-BR"/>
                    </w:rPr>
                  </m:ctrlPr>
                </m:sSubPr>
                <m:e>
                  <m:d>
                    <m:dPr>
                      <m:ctrlPr>
                        <w:rPr>
                          <w:rFonts w:ascii="Cambria Math" w:hAnsi="Cambria Math" w:cs="Baramond"/>
                          <w:color w:val="000000"/>
                          <w:sz w:val="20"/>
                          <w:lang w:eastAsia="pt-BR"/>
                        </w:rPr>
                      </m:ctrlPr>
                    </m:dPr>
                    <m:e>
                      <m:sSub>
                        <m:sSubPr>
                          <m:ctrlPr>
                            <w:rPr>
                              <w:rFonts w:ascii="Cambria Math" w:hAnsi="Cambria Math" w:cs="Baramond"/>
                              <w:color w:val="000000"/>
                              <w:sz w:val="20"/>
                              <w:lang w:eastAsia="pt-BR"/>
                            </w:rPr>
                          </m:ctrlPr>
                        </m:sSubPr>
                        <m:e>
                          <m:r>
                            <m:rPr>
                              <m:sty m:val="p"/>
                            </m:rPr>
                            <w:rPr>
                              <w:rFonts w:ascii="Cambria Math" w:hAnsi="Cambria Math" w:cs="Baramond"/>
                              <w:color w:val="000000"/>
                              <w:sz w:val="20"/>
                              <w:lang w:eastAsia="pt-BR"/>
                            </w:rPr>
                            <m:t>ϵ</m:t>
                          </m:r>
                        </m:e>
                        <m:sub>
                          <m:r>
                            <w:rPr>
                              <w:rFonts w:ascii="Cambria Math" w:hAnsi="Cambria Math" w:cs="Baramond"/>
                              <w:color w:val="000000"/>
                              <w:sz w:val="20"/>
                              <w:lang w:eastAsia="pt-BR"/>
                            </w:rPr>
                            <m:t>kl</m:t>
                          </m:r>
                        </m:sub>
                      </m:sSub>
                    </m:e>
                  </m:d>
                </m:e>
                <m:sub>
                  <m:r>
                    <w:rPr>
                      <w:rFonts w:ascii="Cambria Math" w:hAnsi="Cambria Math" w:cs="Baramond"/>
                      <w:color w:val="000000"/>
                      <w:sz w:val="20"/>
                      <w:lang w:eastAsia="pt-BR"/>
                    </w:rPr>
                    <m:t>n</m:t>
                  </m:r>
                  <m:r>
                    <m:rPr>
                      <m:sty m:val="p"/>
                    </m:rPr>
                    <w:rPr>
                      <w:rFonts w:ascii="Cambria Math" w:hAnsi="Cambria Math" w:cs="Baramond"/>
                      <w:color w:val="000000"/>
                      <w:sz w:val="20"/>
                      <w:lang w:eastAsia="pt-BR"/>
                    </w:rPr>
                    <m:t>×</m:t>
                  </m:r>
                  <m:r>
                    <w:rPr>
                      <w:rFonts w:ascii="Cambria Math" w:hAnsi="Cambria Math" w:cs="Baramond"/>
                      <w:color w:val="000000"/>
                      <w:sz w:val="20"/>
                      <w:lang w:eastAsia="pt-BR"/>
                    </w:rPr>
                    <m:t>n</m:t>
                  </m:r>
                </m:sub>
              </m:sSub>
              <m:r>
                <m:rPr>
                  <m:sty m:val="p"/>
                </m:rPr>
                <w:rPr>
                  <w:rFonts w:ascii="Cambria Math" w:hAnsi="Cambria Math" w:cs="Baramond"/>
                  <w:color w:val="000000"/>
                  <w:sz w:val="20"/>
                  <w:lang w:eastAsia="pt-BR"/>
                </w:rPr>
                <m:t>=</m:t>
              </m:r>
              <m:f>
                <m:fPr>
                  <m:ctrlPr>
                    <w:rPr>
                      <w:rFonts w:ascii="Cambria Math" w:hAnsi="Cambria Math" w:cs="Baramond"/>
                      <w:color w:val="000000"/>
                      <w:sz w:val="20"/>
                      <w:lang w:eastAsia="pt-BR"/>
                    </w:rPr>
                  </m:ctrlPr>
                </m:fPr>
                <m:num>
                  <m:r>
                    <m:rPr>
                      <m:sty m:val="bi"/>
                    </m:rPr>
                    <w:rPr>
                      <w:rFonts w:ascii="Cambria Math" w:hAnsi="Cambria Math" w:cs="Baramond"/>
                      <w:color w:val="000000"/>
                      <w:sz w:val="20"/>
                      <w:lang w:eastAsia="pt-BR"/>
                    </w:rPr>
                    <m:t>B</m:t>
                  </m:r>
                  <m:d>
                    <m:dPr>
                      <m:ctrlPr>
                        <w:rPr>
                          <w:rFonts w:ascii="Cambria Math" w:hAnsi="Cambria Math" w:cs="Baramond"/>
                          <w:b/>
                          <w:bCs/>
                          <w:color w:val="000000"/>
                          <w:sz w:val="20"/>
                          <w:lang w:eastAsia="pt-BR"/>
                        </w:rPr>
                      </m:ctrlPr>
                    </m:dPr>
                    <m:e>
                      <m:r>
                        <m:rPr>
                          <m:sty m:val="bi"/>
                        </m:rPr>
                        <w:rPr>
                          <w:rFonts w:ascii="Cambria Math" w:hAnsi="Cambria Math" w:cs="Baramond"/>
                          <w:color w:val="000000"/>
                          <w:sz w:val="20"/>
                          <w:lang w:eastAsia="pt-BR"/>
                        </w:rPr>
                        <m:t>E</m:t>
                      </m:r>
                    </m:e>
                  </m:d>
                  <m:r>
                    <m:rPr>
                      <m:sty m:val="p"/>
                    </m:rPr>
                    <w:rPr>
                      <w:rFonts w:ascii="Cambria Math" w:hAnsi="Cambria Math" w:cs="Baramond"/>
                      <w:color w:val="000000"/>
                      <w:sz w:val="20"/>
                      <w:lang w:eastAsia="pt-BR"/>
                    </w:rPr>
                    <m:t>-</m:t>
                  </m:r>
                  <m:r>
                    <m:rPr>
                      <m:sty m:val="bi"/>
                    </m:rPr>
                    <w:rPr>
                      <w:rFonts w:ascii="Cambria Math" w:hAnsi="Cambria Math" w:cs="Baramond"/>
                      <w:color w:val="000000"/>
                      <w:sz w:val="20"/>
                      <w:lang w:eastAsia="pt-BR"/>
                    </w:rPr>
                    <m:t>B</m:t>
                  </m:r>
                </m:num>
                <m:den>
                  <m:r>
                    <m:rPr>
                      <m:sty m:val="p"/>
                    </m:rPr>
                    <w:rPr>
                      <w:rFonts w:ascii="Cambria Math" w:hAnsi="Cambria Math" w:cs="Baramond"/>
                      <w:color w:val="000000"/>
                      <w:sz w:val="20"/>
                      <w:lang w:eastAsia="pt-BR"/>
                    </w:rPr>
                    <m:t>ϵ</m:t>
                  </m:r>
                </m:den>
              </m:f>
              <m:r>
                <m:rPr>
                  <m:sty m:val="p"/>
                </m:rPr>
                <w:rPr>
                  <w:rFonts w:ascii="Cambria Math" w:hAnsi="Cambria Math" w:cs="Baramond"/>
                  <w:color w:val="000000"/>
                  <w:sz w:val="20"/>
                  <w:lang w:eastAsia="pt-BR"/>
                </w:rPr>
                <m:t>#</m:t>
              </m:r>
              <m:d>
                <m:dPr>
                  <m:ctrlPr>
                    <w:rPr>
                      <w:rFonts w:ascii="Cambria Math" w:hAnsi="Cambria Math" w:cs="Baramond"/>
                      <w:color w:val="000000"/>
                      <w:sz w:val="20"/>
                      <w:lang w:eastAsia="pt-BR"/>
                    </w:rPr>
                  </m:ctrlPr>
                </m:dPr>
                <m:e>
                  <m:r>
                    <m:rPr>
                      <m:sty m:val="p"/>
                    </m:rPr>
                    <w:rPr>
                      <w:rFonts w:ascii="Cambria Math" w:hAnsi="Cambria Math" w:cs="Baramond"/>
                      <w:color w:val="000000"/>
                      <w:sz w:val="20"/>
                      <w:lang w:eastAsia="pt-BR"/>
                    </w:rPr>
                    <m:t>5</m:t>
                  </m:r>
                </m:e>
              </m:d>
            </m:e>
          </m:eqArr>
        </m:oMath>
      </m:oMathPara>
    </w:p>
    <w:p w14:paraId="3458B0D6" w14:textId="77777777" w:rsidR="00291E23" w:rsidRPr="00291E23" w:rsidRDefault="00291E23" w:rsidP="00291E23">
      <w:pPr>
        <w:autoSpaceDE w:val="0"/>
        <w:autoSpaceDN w:val="0"/>
        <w:adjustRightInd w:val="0"/>
        <w:spacing w:before="60" w:after="60" w:line="240" w:lineRule="auto"/>
        <w:ind w:firstLine="567"/>
        <w:jc w:val="both"/>
        <w:textAlignment w:val="center"/>
        <w:rPr>
          <w:rFonts w:ascii="Times New Roman" w:hAnsi="Times New Roman" w:cs="Baramond"/>
          <w:color w:val="000000"/>
          <w:lang w:eastAsia="pt-BR"/>
        </w:rPr>
      </w:pPr>
    </w:p>
    <w:p w14:paraId="4984C088" w14:textId="30C8A76D" w:rsidR="00291E23" w:rsidRPr="00291E23" w:rsidRDefault="00291E23" w:rsidP="00291E23">
      <w:pPr>
        <w:autoSpaceDE w:val="0"/>
        <w:autoSpaceDN w:val="0"/>
        <w:adjustRightInd w:val="0"/>
        <w:spacing w:before="60" w:after="60" w:line="240" w:lineRule="auto"/>
        <w:ind w:firstLine="567"/>
        <w:jc w:val="both"/>
        <w:textAlignment w:val="center"/>
        <w:rPr>
          <w:rFonts w:ascii="Times New Roman" w:hAnsi="Times New Roman" w:cs="Baramond"/>
          <w:color w:val="000000"/>
        </w:rPr>
      </w:pPr>
      <w:r>
        <w:rPr>
          <w:rFonts w:ascii="Times New Roman" w:hAnsi="Times New Roman"/>
          <w:color w:val="000000"/>
        </w:rPr>
        <w:t xml:space="preserve">This process is repeated iteratively for all coefficients and relations present in the </w:t>
      </w:r>
      <m:oMath>
        <m:r>
          <m:rPr>
            <m:sty m:val="b"/>
          </m:rPr>
          <w:rPr>
            <w:rFonts w:ascii="Cambria Math" w:hAnsi="Cambria Math" w:cs="Baramond"/>
            <w:color w:val="000000"/>
            <w:lang w:eastAsia="pt-BR"/>
          </w:rPr>
          <m:t>A</m:t>
        </m:r>
      </m:oMath>
      <w:r>
        <w:rPr>
          <w:rFonts w:ascii="Times New Roman" w:hAnsi="Times New Roman"/>
          <w:color w:val="000000"/>
        </w:rPr>
        <w:t xml:space="preserve"> matrix of technical coefficients (always with isolated increments, obeying Equation 4).</w:t>
      </w:r>
    </w:p>
    <w:p w14:paraId="04DB037E" w14:textId="77777777" w:rsidR="00291E23" w:rsidRPr="00291E23" w:rsidRDefault="00291E23" w:rsidP="00291E23">
      <w:pPr>
        <w:autoSpaceDE w:val="0"/>
        <w:autoSpaceDN w:val="0"/>
        <w:adjustRightInd w:val="0"/>
        <w:spacing w:before="60" w:after="60" w:line="240" w:lineRule="auto"/>
        <w:ind w:firstLine="567"/>
        <w:jc w:val="both"/>
        <w:textAlignment w:val="center"/>
        <w:rPr>
          <w:rFonts w:ascii="Times New Roman" w:hAnsi="Times New Roman" w:cs="Baramond"/>
          <w:color w:val="000000"/>
        </w:rPr>
      </w:pPr>
      <w:r>
        <w:rPr>
          <w:rFonts w:ascii="Times New Roman" w:hAnsi="Times New Roman"/>
          <w:color w:val="000000"/>
        </w:rPr>
        <w:t xml:space="preserve">Finally, it is possible to define the </w:t>
      </w:r>
      <m:oMath>
        <m:r>
          <m:rPr>
            <m:sty m:val="b"/>
          </m:rPr>
          <w:rPr>
            <w:rFonts w:ascii="Cambria Math" w:hAnsi="Cambria Math" w:cs="Baramond"/>
            <w:color w:val="000000"/>
            <w:lang w:eastAsia="pt-BR"/>
          </w:rPr>
          <m:t>S</m:t>
        </m:r>
      </m:oMath>
      <w:r>
        <w:rPr>
          <w:rFonts w:ascii="Times New Roman" w:hAnsi="Times New Roman"/>
          <w:color w:val="000000"/>
        </w:rPr>
        <w:t xml:space="preserve"> matrix, in which each element </w:t>
      </w:r>
      <m:oMath>
        <m:r>
          <m:rPr>
            <m:sty m:val="p"/>
          </m:rPr>
          <w:rPr>
            <w:rFonts w:ascii="Cambria Math" w:hAnsi="Cambria Math" w:cs="Baramond"/>
            <w:color w:val="000000"/>
            <w:lang w:eastAsia="pt-BR"/>
          </w:rPr>
          <m:t>(</m:t>
        </m:r>
        <m:r>
          <w:rPr>
            <w:rFonts w:ascii="Cambria Math" w:hAnsi="Cambria Math" w:cs="Baramond"/>
            <w:color w:val="000000"/>
            <w:lang w:eastAsia="pt-BR"/>
          </w:rPr>
          <m:t>k</m:t>
        </m:r>
      </m:oMath>
      <w:r>
        <w:rPr>
          <w:rFonts w:ascii="Times New Roman" w:hAnsi="Times New Roman"/>
          <w:color w:val="000000"/>
        </w:rPr>
        <w:t xml:space="preserve">, </w:t>
      </w:r>
      <m:oMath>
        <m:r>
          <w:rPr>
            <w:rFonts w:ascii="Cambria Math" w:hAnsi="Cambria Math" w:cs="Baramond"/>
            <w:color w:val="000000"/>
            <w:lang w:eastAsia="pt-BR"/>
          </w:rPr>
          <m:t>l</m:t>
        </m:r>
        <m:r>
          <m:rPr>
            <m:sty m:val="p"/>
          </m:rPr>
          <w:rPr>
            <w:rFonts w:ascii="Cambria Math" w:hAnsi="Cambria Math" w:cs="Baramond"/>
            <w:color w:val="000000"/>
            <w:lang w:eastAsia="pt-BR"/>
          </w:rPr>
          <m:t>)</m:t>
        </m:r>
      </m:oMath>
      <w:r>
        <w:rPr>
          <w:rFonts w:ascii="Times New Roman" w:hAnsi="Times New Roman"/>
          <w:color w:val="000000"/>
        </w:rPr>
        <w:t xml:space="preserve"> is the sum of the squares of the respective </w:t>
      </w:r>
      <m:oMath>
        <m:r>
          <m:rPr>
            <m:sty m:val="b"/>
          </m:rPr>
          <w:rPr>
            <w:rFonts w:ascii="Cambria Math" w:hAnsi="Cambria Math" w:cs="Baramond"/>
            <w:color w:val="000000"/>
            <w:lang w:eastAsia="pt-BR"/>
          </w:rPr>
          <m:t>F</m:t>
        </m:r>
      </m:oMath>
      <w:r>
        <w:rPr>
          <w:rFonts w:ascii="Times New Roman" w:hAnsi="Times New Roman"/>
          <w:color w:val="000000"/>
        </w:rPr>
        <w:t xml:space="preserve"> matrix. This makes it possible to see which technical coefficients have the greatest fields of influence – in other words, those with the greatest sensitivity to variations and, consequently, with the greatest potential for impact:</w:t>
      </w:r>
    </w:p>
    <w:p w14:paraId="6121A355" w14:textId="77777777" w:rsidR="00291E23" w:rsidRPr="00291E23" w:rsidRDefault="00291E23" w:rsidP="00291E23">
      <w:pPr>
        <w:autoSpaceDE w:val="0"/>
        <w:autoSpaceDN w:val="0"/>
        <w:adjustRightInd w:val="0"/>
        <w:spacing w:before="60" w:after="60" w:line="240" w:lineRule="auto"/>
        <w:ind w:firstLine="567"/>
        <w:jc w:val="both"/>
        <w:textAlignment w:val="center"/>
        <w:rPr>
          <w:rFonts w:ascii="Times New Roman" w:hAnsi="Times New Roman" w:cs="Baramond"/>
          <w:color w:val="000000"/>
          <w:lang w:eastAsia="pt-BR"/>
        </w:rPr>
      </w:pPr>
    </w:p>
    <w:p w14:paraId="6283D44F" w14:textId="77777777" w:rsidR="00291E23" w:rsidRPr="00291E23" w:rsidRDefault="00000000" w:rsidP="00291E23">
      <w:pPr>
        <w:autoSpaceDE w:val="0"/>
        <w:autoSpaceDN w:val="0"/>
        <w:adjustRightInd w:val="0"/>
        <w:spacing w:before="60" w:after="60" w:line="240" w:lineRule="auto"/>
        <w:ind w:firstLine="567"/>
        <w:jc w:val="both"/>
        <w:textAlignment w:val="center"/>
        <w:rPr>
          <w:rFonts w:ascii="Times New Roman" w:eastAsiaTheme="minorEastAsia" w:hAnsi="Times New Roman" w:cs="Baramond"/>
          <w:color w:val="000000"/>
        </w:rPr>
      </w:pPr>
      <m:oMathPara>
        <m:oMath>
          <m:eqArr>
            <m:eqArrPr>
              <m:maxDist m:val="1"/>
              <m:ctrlPr>
                <w:rPr>
                  <w:rFonts w:ascii="Cambria Math" w:eastAsiaTheme="minorEastAsia" w:hAnsi="Cambria Math" w:cs="Baramond"/>
                  <w:i/>
                  <w:color w:val="000000"/>
                  <w:sz w:val="20"/>
                  <w:lang w:eastAsia="pt-BR"/>
                </w:rPr>
              </m:ctrlPr>
            </m:eqArrPr>
            <m:e>
              <m:sSub>
                <m:sSubPr>
                  <m:ctrlPr>
                    <w:rPr>
                      <w:rFonts w:ascii="Cambria Math" w:hAnsi="Cambria Math" w:cs="Baramond"/>
                      <w:color w:val="000000"/>
                      <w:sz w:val="20"/>
                      <w:lang w:eastAsia="pt-BR"/>
                    </w:rPr>
                  </m:ctrlPr>
                </m:sSubPr>
                <m:e>
                  <m:r>
                    <m:rPr>
                      <m:sty m:val="b"/>
                    </m:rPr>
                    <w:rPr>
                      <w:rFonts w:ascii="Cambria Math" w:hAnsi="Cambria Math" w:cs="Baramond"/>
                      <w:color w:val="000000"/>
                      <w:sz w:val="20"/>
                      <w:lang w:eastAsia="pt-BR"/>
                    </w:rPr>
                    <m:t>S</m:t>
                  </m:r>
                </m:e>
                <m:sub>
                  <m:r>
                    <w:rPr>
                      <w:rFonts w:ascii="Cambria Math" w:hAnsi="Cambria Math" w:cs="Baramond"/>
                      <w:color w:val="000000"/>
                      <w:sz w:val="20"/>
                      <w:lang w:eastAsia="pt-BR"/>
                    </w:rPr>
                    <m:t>n</m:t>
                  </m:r>
                  <m:r>
                    <m:rPr>
                      <m:sty m:val="p"/>
                    </m:rPr>
                    <w:rPr>
                      <w:rFonts w:ascii="Cambria Math" w:hAnsi="Cambria Math" w:cs="Baramond"/>
                      <w:color w:val="000000"/>
                      <w:sz w:val="20"/>
                      <w:lang w:eastAsia="pt-BR"/>
                    </w:rPr>
                    <m:t>×</m:t>
                  </m:r>
                  <m:r>
                    <w:rPr>
                      <w:rFonts w:ascii="Cambria Math" w:hAnsi="Cambria Math" w:cs="Baramond"/>
                      <w:color w:val="000000"/>
                      <w:sz w:val="20"/>
                      <w:lang w:eastAsia="pt-BR"/>
                    </w:rPr>
                    <m:t>n</m:t>
                  </m:r>
                </m:sub>
              </m:sSub>
              <m:r>
                <m:rPr>
                  <m:sty m:val="p"/>
                </m:rPr>
                <w:rPr>
                  <w:rFonts w:ascii="Cambria Math" w:hAnsi="Cambria Math" w:cs="Baramond"/>
                  <w:color w:val="000000"/>
                  <w:sz w:val="20"/>
                  <w:lang w:eastAsia="pt-BR"/>
                </w:rPr>
                <m:t>=</m:t>
              </m:r>
              <m:d>
                <m:dPr>
                  <m:begChr m:val="["/>
                  <m:endChr m:val="]"/>
                  <m:ctrlPr>
                    <w:rPr>
                      <w:rFonts w:ascii="Cambria Math" w:hAnsi="Cambria Math" w:cs="Baramond"/>
                      <w:color w:val="000000"/>
                      <w:sz w:val="20"/>
                      <w:lang w:eastAsia="pt-BR"/>
                    </w:rPr>
                  </m:ctrlPr>
                </m:dPr>
                <m:e>
                  <m:m>
                    <m:mPr>
                      <m:plcHide m:val="1"/>
                      <m:mcs>
                        <m:mc>
                          <m:mcPr>
                            <m:count m:val="1"/>
                            <m:mcJc m:val="center"/>
                          </m:mcPr>
                        </m:mc>
                      </m:mcs>
                      <m:ctrlPr>
                        <w:rPr>
                          <w:rFonts w:ascii="Cambria Math" w:hAnsi="Cambria Math" w:cs="Baramond"/>
                          <w:color w:val="000000"/>
                          <w:sz w:val="20"/>
                          <w:lang w:eastAsia="pt-BR"/>
                        </w:rPr>
                      </m:ctrlPr>
                    </m:mPr>
                    <m:mr>
                      <m:e>
                        <m:sSub>
                          <m:sSubPr>
                            <m:ctrlPr>
                              <w:rPr>
                                <w:rFonts w:ascii="Cambria Math" w:hAnsi="Cambria Math" w:cs="Baramond"/>
                                <w:color w:val="000000"/>
                                <w:sz w:val="20"/>
                                <w:lang w:eastAsia="pt-BR"/>
                              </w:rPr>
                            </m:ctrlPr>
                          </m:sSubPr>
                          <m:e>
                            <m:r>
                              <w:rPr>
                                <w:rFonts w:ascii="Cambria Math" w:hAnsi="Cambria Math" w:cs="Baramond"/>
                                <w:color w:val="000000"/>
                                <w:sz w:val="20"/>
                                <w:lang w:eastAsia="pt-BR"/>
                              </w:rPr>
                              <m:t>s</m:t>
                            </m:r>
                          </m:e>
                          <m:sub>
                            <m:r>
                              <w:rPr>
                                <w:rFonts w:ascii="Cambria Math" w:hAnsi="Cambria Math" w:cs="Baramond"/>
                                <w:color w:val="000000"/>
                                <w:sz w:val="20"/>
                                <w:lang w:eastAsia="pt-BR"/>
                              </w:rPr>
                              <m:t>kl</m:t>
                            </m:r>
                          </m:sub>
                        </m:sSub>
                      </m:e>
                    </m:mr>
                  </m:m>
                </m:e>
              </m:d>
              <m:r>
                <m:rPr>
                  <m:sty m:val="p"/>
                </m:rPr>
                <w:rPr>
                  <w:rFonts w:ascii="Cambria Math" w:hAnsi="Cambria Math" w:cs="Baramond"/>
                  <w:color w:val="000000"/>
                  <w:sz w:val="20"/>
                  <w:lang w:eastAsia="pt-BR"/>
                </w:rPr>
                <m:t>=</m:t>
              </m:r>
              <m:d>
                <m:dPr>
                  <m:begChr m:val="["/>
                  <m:endChr m:val="]"/>
                  <m:ctrlPr>
                    <w:rPr>
                      <w:rFonts w:ascii="Cambria Math" w:hAnsi="Cambria Math" w:cs="Baramond"/>
                      <w:color w:val="000000"/>
                      <w:sz w:val="20"/>
                      <w:lang w:eastAsia="pt-BR"/>
                    </w:rPr>
                  </m:ctrlPr>
                </m:dPr>
                <m:e>
                  <m:m>
                    <m:mPr>
                      <m:plcHide m:val="1"/>
                      <m:mcs>
                        <m:mc>
                          <m:mcPr>
                            <m:count m:val="1"/>
                            <m:mcJc m:val="center"/>
                          </m:mcPr>
                        </m:mc>
                      </m:mcs>
                      <m:ctrlPr>
                        <w:rPr>
                          <w:rFonts w:ascii="Cambria Math" w:hAnsi="Cambria Math" w:cs="Baramond"/>
                          <w:color w:val="000000"/>
                          <w:sz w:val="20"/>
                          <w:lang w:eastAsia="pt-BR"/>
                        </w:rPr>
                      </m:ctrlPr>
                    </m:mPr>
                    <m:mr>
                      <m:e>
                        <m:nary>
                          <m:naryPr>
                            <m:chr m:val="∑"/>
                            <m:limLoc m:val="undOvr"/>
                            <m:ctrlPr>
                              <w:rPr>
                                <w:rFonts w:ascii="Cambria Math" w:hAnsi="Cambria Math" w:cs="Baramond"/>
                                <w:color w:val="000000"/>
                                <w:sz w:val="20"/>
                                <w:lang w:eastAsia="pt-BR"/>
                              </w:rPr>
                            </m:ctrlPr>
                          </m:naryPr>
                          <m:sub>
                            <m:r>
                              <w:rPr>
                                <w:rFonts w:ascii="Cambria Math" w:hAnsi="Cambria Math" w:cs="Baramond"/>
                                <w:color w:val="000000"/>
                                <w:sz w:val="20"/>
                                <w:lang w:eastAsia="pt-BR"/>
                              </w:rPr>
                              <m:t>k</m:t>
                            </m:r>
                            <m:r>
                              <m:rPr>
                                <m:sty m:val="p"/>
                              </m:rPr>
                              <w:rPr>
                                <w:rFonts w:ascii="Cambria Math" w:hAnsi="Cambria Math" w:cs="Baramond"/>
                                <w:color w:val="000000"/>
                                <w:sz w:val="20"/>
                                <w:lang w:eastAsia="pt-BR"/>
                              </w:rPr>
                              <m:t>=</m:t>
                            </m:r>
                            <m:r>
                              <w:rPr>
                                <w:rFonts w:ascii="Cambria Math" w:hAnsi="Cambria Math" w:cs="Baramond"/>
                                <w:color w:val="000000"/>
                                <w:sz w:val="20"/>
                                <w:lang w:eastAsia="pt-BR"/>
                              </w:rPr>
                              <m:t>1</m:t>
                            </m:r>
                          </m:sub>
                          <m:sup>
                            <m:r>
                              <w:rPr>
                                <w:rFonts w:ascii="Cambria Math" w:hAnsi="Cambria Math" w:cs="Baramond"/>
                                <w:color w:val="000000"/>
                                <w:sz w:val="20"/>
                                <w:lang w:eastAsia="pt-BR"/>
                              </w:rPr>
                              <m:t>n</m:t>
                            </m:r>
                          </m:sup>
                          <m:e>
                            <m:nary>
                              <m:naryPr>
                                <m:chr m:val="∑"/>
                                <m:limLoc m:val="undOvr"/>
                                <m:ctrlPr>
                                  <w:rPr>
                                    <w:rFonts w:ascii="Cambria Math" w:hAnsi="Cambria Math" w:cs="Baramond"/>
                                    <w:color w:val="000000"/>
                                    <w:sz w:val="20"/>
                                    <w:lang w:eastAsia="pt-BR"/>
                                  </w:rPr>
                                </m:ctrlPr>
                              </m:naryPr>
                              <m:sub>
                                <m:r>
                                  <w:rPr>
                                    <w:rFonts w:ascii="Cambria Math" w:hAnsi="Cambria Math" w:cs="Baramond"/>
                                    <w:color w:val="000000"/>
                                    <w:sz w:val="20"/>
                                    <w:lang w:eastAsia="pt-BR"/>
                                  </w:rPr>
                                  <m:t>l</m:t>
                                </m:r>
                                <m:r>
                                  <m:rPr>
                                    <m:sty m:val="p"/>
                                  </m:rPr>
                                  <w:rPr>
                                    <w:rFonts w:ascii="Cambria Math" w:hAnsi="Cambria Math" w:cs="Baramond"/>
                                    <w:color w:val="000000"/>
                                    <w:sz w:val="20"/>
                                    <w:lang w:eastAsia="pt-BR"/>
                                  </w:rPr>
                                  <m:t>=</m:t>
                                </m:r>
                                <m:r>
                                  <w:rPr>
                                    <w:rFonts w:ascii="Cambria Math" w:hAnsi="Cambria Math" w:cs="Baramond"/>
                                    <w:color w:val="000000"/>
                                    <w:sz w:val="20"/>
                                    <w:lang w:eastAsia="pt-BR"/>
                                  </w:rPr>
                                  <m:t>1</m:t>
                                </m:r>
                              </m:sub>
                              <m:sup>
                                <m:r>
                                  <w:rPr>
                                    <w:rFonts w:ascii="Cambria Math" w:hAnsi="Cambria Math" w:cs="Baramond"/>
                                    <w:color w:val="000000"/>
                                    <w:sz w:val="20"/>
                                    <w:lang w:eastAsia="pt-BR"/>
                                  </w:rPr>
                                  <m:t>n</m:t>
                                </m:r>
                              </m:sup>
                              <m:e>
                                <m:r>
                                  <m:rPr>
                                    <m:sty m:val="p"/>
                                  </m:rPr>
                                  <w:rPr>
                                    <w:rFonts w:ascii="Cambria Math" w:hAnsi="Cambria Math" w:cs="Baramond"/>
                                    <w:color w:val="000000"/>
                                    <w:sz w:val="20"/>
                                    <w:lang w:eastAsia="pt-BR"/>
                                  </w:rPr>
                                  <m:t>[</m:t>
                                </m:r>
                              </m:e>
                            </m:nary>
                          </m:e>
                        </m:nary>
                        <m:r>
                          <m:rPr>
                            <m:sty m:val="b"/>
                          </m:rPr>
                          <w:rPr>
                            <w:rFonts w:ascii="Cambria Math" w:hAnsi="Cambria Math" w:cs="Baramond"/>
                            <w:color w:val="000000"/>
                            <w:sz w:val="20"/>
                            <w:lang w:eastAsia="pt-BR"/>
                          </w:rPr>
                          <m:t>F</m:t>
                        </m:r>
                        <m:d>
                          <m:dPr>
                            <m:ctrlPr>
                              <w:rPr>
                                <w:rFonts w:ascii="Cambria Math" w:hAnsi="Cambria Math" w:cs="Baramond"/>
                                <w:color w:val="000000"/>
                                <w:sz w:val="20"/>
                                <w:lang w:eastAsia="pt-BR"/>
                              </w:rPr>
                            </m:ctrlPr>
                          </m:dPr>
                          <m:e>
                            <m:sSub>
                              <m:sSubPr>
                                <m:ctrlPr>
                                  <w:rPr>
                                    <w:rFonts w:ascii="Cambria Math" w:hAnsi="Cambria Math" w:cs="Baramond"/>
                                    <w:color w:val="000000"/>
                                    <w:sz w:val="20"/>
                                    <w:lang w:eastAsia="pt-BR"/>
                                  </w:rPr>
                                </m:ctrlPr>
                              </m:sSubPr>
                              <m:e>
                                <m:r>
                                  <w:rPr>
                                    <w:rFonts w:ascii="Cambria Math" w:hAnsi="Cambria Math" w:cs="Baramond"/>
                                    <w:color w:val="000000"/>
                                    <w:sz w:val="20"/>
                                    <w:lang w:eastAsia="pt-BR"/>
                                  </w:rPr>
                                  <m:t>ϵ</m:t>
                                </m:r>
                              </m:e>
                              <m:sub>
                                <m:r>
                                  <w:rPr>
                                    <w:rFonts w:ascii="Cambria Math" w:hAnsi="Cambria Math" w:cs="Baramond"/>
                                    <w:color w:val="000000"/>
                                    <w:sz w:val="20"/>
                                    <w:lang w:eastAsia="pt-BR"/>
                                  </w:rPr>
                                  <m:t>kl</m:t>
                                </m:r>
                              </m:sub>
                            </m:sSub>
                          </m:e>
                        </m:d>
                        <m:sSup>
                          <m:sSupPr>
                            <m:ctrlPr>
                              <w:rPr>
                                <w:rFonts w:ascii="Cambria Math" w:hAnsi="Cambria Math" w:cs="Baramond"/>
                                <w:color w:val="000000"/>
                                <w:sz w:val="20"/>
                                <w:lang w:eastAsia="pt-BR"/>
                              </w:rPr>
                            </m:ctrlPr>
                          </m:sSupPr>
                          <m:e>
                            <m:r>
                              <m:rPr>
                                <m:sty m:val="p"/>
                              </m:rPr>
                              <w:rPr>
                                <w:rFonts w:ascii="Cambria Math" w:hAnsi="Cambria Math" w:cs="Baramond"/>
                                <w:color w:val="000000"/>
                                <w:sz w:val="20"/>
                                <w:lang w:eastAsia="pt-BR"/>
                              </w:rPr>
                              <m:t>]</m:t>
                            </m:r>
                          </m:e>
                          <m:sup>
                            <m:r>
                              <w:rPr>
                                <w:rFonts w:ascii="Cambria Math" w:hAnsi="Cambria Math" w:cs="Baramond"/>
                                <w:color w:val="000000"/>
                                <w:sz w:val="20"/>
                                <w:lang w:eastAsia="pt-BR"/>
                              </w:rPr>
                              <m:t>2</m:t>
                            </m:r>
                          </m:sup>
                        </m:sSup>
                      </m:e>
                    </m:mr>
                  </m:m>
                </m:e>
              </m:d>
              <m:r>
                <w:rPr>
                  <w:rFonts w:ascii="Cambria Math" w:hAnsi="Cambria Math" w:cs="Baramond"/>
                  <w:color w:val="000000"/>
                  <w:sz w:val="20"/>
                  <w:lang w:eastAsia="pt-BR"/>
                </w:rPr>
                <m:t>#</m:t>
              </m:r>
              <m:d>
                <m:dPr>
                  <m:ctrlPr>
                    <w:rPr>
                      <w:rFonts w:ascii="Cambria Math" w:eastAsiaTheme="minorEastAsia" w:hAnsi="Cambria Math" w:cs="Baramond"/>
                      <w:i/>
                      <w:color w:val="000000"/>
                      <w:sz w:val="20"/>
                      <w:lang w:eastAsia="pt-BR"/>
                    </w:rPr>
                  </m:ctrlPr>
                </m:dPr>
                <m:e>
                  <m:r>
                    <w:rPr>
                      <w:rFonts w:ascii="Cambria Math" w:eastAsiaTheme="minorEastAsia" w:hAnsi="Cambria Math" w:cs="Baramond"/>
                      <w:color w:val="000000"/>
                      <w:sz w:val="20"/>
                      <w:lang w:eastAsia="pt-BR"/>
                    </w:rPr>
                    <m:t>6</m:t>
                  </m:r>
                </m:e>
              </m:d>
              <m:ctrlPr>
                <w:rPr>
                  <w:rFonts w:ascii="Cambria Math" w:hAnsi="Cambria Math" w:cs="Baramond"/>
                  <w:i/>
                  <w:color w:val="000000"/>
                  <w:sz w:val="20"/>
                  <w:lang w:eastAsia="pt-BR"/>
                </w:rPr>
              </m:ctrlPr>
            </m:e>
          </m:eqArr>
        </m:oMath>
      </m:oMathPara>
    </w:p>
    <w:p w14:paraId="7674D222" w14:textId="77777777" w:rsidR="00291E23" w:rsidRDefault="00291E23" w:rsidP="00291E23">
      <w:pPr>
        <w:autoSpaceDE w:val="0"/>
        <w:autoSpaceDN w:val="0"/>
        <w:adjustRightInd w:val="0"/>
        <w:spacing w:before="60" w:after="60" w:line="240" w:lineRule="auto"/>
        <w:ind w:firstLine="567"/>
        <w:jc w:val="both"/>
        <w:textAlignment w:val="center"/>
        <w:rPr>
          <w:rFonts w:ascii="Times New Roman" w:hAnsi="Times New Roman" w:cs="Baramond"/>
          <w:color w:val="000000"/>
          <w:lang w:eastAsia="pt-BR"/>
        </w:rPr>
      </w:pPr>
    </w:p>
    <w:p w14:paraId="7AAE50B8" w14:textId="18E38BA7" w:rsidR="00291E23" w:rsidRPr="00291E23" w:rsidRDefault="00291E23" w:rsidP="00291E23">
      <w:pPr>
        <w:autoSpaceDE w:val="0"/>
        <w:autoSpaceDN w:val="0"/>
        <w:adjustRightInd w:val="0"/>
        <w:spacing w:before="60" w:after="60" w:line="240" w:lineRule="auto"/>
        <w:ind w:firstLine="567"/>
        <w:jc w:val="both"/>
        <w:textAlignment w:val="center"/>
        <w:rPr>
          <w:rFonts w:ascii="Times New Roman" w:hAnsi="Times New Roman" w:cs="Baramond"/>
          <w:color w:val="000000" w:themeColor="text1"/>
        </w:rPr>
      </w:pPr>
      <w:r>
        <w:rPr>
          <w:rFonts w:ascii="Times New Roman" w:hAnsi="Times New Roman"/>
          <w:color w:val="000000"/>
        </w:rPr>
        <w:t>The results for the mean</w:t>
      </w:r>
      <w:r w:rsidRPr="00291E23">
        <w:rPr>
          <w:rFonts w:ascii="Times New Roman" w:hAnsi="Times New Roman" w:cs="Baramond"/>
          <w:color w:val="000000"/>
          <w:vertAlign w:val="superscript"/>
          <w:lang w:eastAsia="pt-BR"/>
        </w:rPr>
        <w:footnoteReference w:id="17"/>
      </w:r>
      <w:r>
        <w:rPr>
          <w:rFonts w:ascii="Times New Roman" w:hAnsi="Times New Roman"/>
          <w:color w:val="000000"/>
        </w:rPr>
        <w:t xml:space="preserve"> of the estimated matrices can be seen in Figure 9, where darker squares indicate a higher </w:t>
      </w:r>
      <m:oMath>
        <m:sSub>
          <m:sSubPr>
            <m:ctrlPr>
              <w:rPr>
                <w:rFonts w:ascii="Cambria Math" w:hAnsi="Cambria Math" w:cs="Baramond"/>
                <w:color w:val="000000"/>
                <w:lang w:eastAsia="pt-BR"/>
              </w:rPr>
            </m:ctrlPr>
          </m:sSubPr>
          <m:e>
            <m:r>
              <w:rPr>
                <w:rFonts w:ascii="Cambria Math" w:hAnsi="Cambria Math" w:cs="Baramond"/>
                <w:color w:val="000000"/>
                <w:lang w:eastAsia="pt-BR"/>
              </w:rPr>
              <m:t>s</m:t>
            </m:r>
          </m:e>
          <m:sub>
            <m:r>
              <w:rPr>
                <w:rFonts w:ascii="Cambria Math" w:hAnsi="Cambria Math" w:cs="Baramond"/>
                <w:color w:val="000000"/>
                <w:lang w:eastAsia="pt-BR"/>
              </w:rPr>
              <m:t>kl</m:t>
            </m:r>
          </m:sub>
        </m:sSub>
      </m:oMath>
      <w:r>
        <w:rPr>
          <w:rFonts w:ascii="Times New Roman" w:hAnsi="Times New Roman"/>
          <w:color w:val="000000"/>
        </w:rPr>
        <w:t xml:space="preserve">, i.e. a strong link between sectors. For ease of </w:t>
      </w:r>
      <w:r>
        <w:rPr>
          <w:rFonts w:ascii="Times New Roman" w:hAnsi="Times New Roman"/>
          <w:color w:val="000000"/>
        </w:rPr>
        <w:lastRenderedPageBreak/>
        <w:t xml:space="preserve">comparison, Figure 9 classifies the values into four distinct categories, depending on their magnitude against the average and </w:t>
      </w:r>
      <w:r w:rsidR="000B22B5">
        <w:rPr>
          <w:rFonts w:ascii="Times New Roman" w:hAnsi="Times New Roman"/>
          <w:color w:val="000000"/>
        </w:rPr>
        <w:t>s</w:t>
      </w:r>
      <w:r>
        <w:rPr>
          <w:rFonts w:ascii="Times New Roman" w:hAnsi="Times New Roman"/>
          <w:color w:val="000000"/>
        </w:rPr>
        <w:t xml:space="preserve">tandard </w:t>
      </w:r>
      <w:r w:rsidR="000B22B5">
        <w:rPr>
          <w:rFonts w:ascii="Times New Roman" w:hAnsi="Times New Roman"/>
          <w:color w:val="000000"/>
        </w:rPr>
        <w:t>d</w:t>
      </w:r>
      <w:r>
        <w:rPr>
          <w:rFonts w:ascii="Times New Roman" w:hAnsi="Times New Roman"/>
          <w:color w:val="000000"/>
        </w:rPr>
        <w:t>eviation (SD) of the economic link</w:t>
      </w:r>
      <w:r w:rsidR="000B22B5">
        <w:rPr>
          <w:rFonts w:ascii="Times New Roman" w:hAnsi="Times New Roman"/>
          <w:color w:val="000000"/>
        </w:rPr>
        <w:t>ages</w:t>
      </w:r>
      <w:r>
        <w:rPr>
          <w:rFonts w:ascii="Times New Roman" w:hAnsi="Times New Roman"/>
          <w:color w:val="000000" w:themeColor="text1"/>
        </w:rPr>
        <w:t xml:space="preserve">. </w:t>
      </w:r>
    </w:p>
    <w:p w14:paraId="0C5B921E" w14:textId="77777777" w:rsidR="00291E23" w:rsidRDefault="00291E23" w:rsidP="00291E23">
      <w:pPr>
        <w:autoSpaceDE w:val="0"/>
        <w:autoSpaceDN w:val="0"/>
        <w:adjustRightInd w:val="0"/>
        <w:spacing w:before="60" w:after="60" w:line="240" w:lineRule="auto"/>
        <w:ind w:firstLine="567"/>
        <w:jc w:val="both"/>
        <w:textAlignment w:val="center"/>
        <w:rPr>
          <w:rFonts w:ascii="Times New Roman" w:hAnsi="Times New Roman" w:cs="Baramond"/>
          <w:color w:val="000000" w:themeColor="text1"/>
        </w:rPr>
      </w:pPr>
      <w:r>
        <w:rPr>
          <w:rFonts w:ascii="Times New Roman" w:hAnsi="Times New Roman"/>
          <w:color w:val="000000" w:themeColor="text1"/>
        </w:rPr>
        <w:t>Reading across the rows relates to the sector's supply influence, while the columns show the demand influence. For example, if there are marginal changes in technical coefficients, Agriculture would buy between 1 and 2 SD more inputs from the Electricity and Gas sector than the variation in the economy's average demand. The most interesting aspect, however, is to analyze the overall performance of a sector as a supplier (line) or consumer (column) in comparison to all other activities: the darker the line/column, the stronger the influence of the sector's supply/demand.</w:t>
      </w:r>
    </w:p>
    <w:p w14:paraId="357F46EC" w14:textId="77777777" w:rsidR="00E23378" w:rsidRPr="00291E23" w:rsidRDefault="00E23378" w:rsidP="00291E23">
      <w:pPr>
        <w:autoSpaceDE w:val="0"/>
        <w:autoSpaceDN w:val="0"/>
        <w:adjustRightInd w:val="0"/>
        <w:spacing w:before="60" w:after="60" w:line="240" w:lineRule="auto"/>
        <w:ind w:firstLine="567"/>
        <w:jc w:val="both"/>
        <w:textAlignment w:val="center"/>
        <w:rPr>
          <w:rFonts w:ascii="Times New Roman" w:hAnsi="Times New Roman" w:cs="Baramond"/>
          <w:color w:val="000000" w:themeColor="text1"/>
          <w:lang w:eastAsia="pt-BR"/>
        </w:rPr>
      </w:pPr>
    </w:p>
    <w:p w14:paraId="030C87DF" w14:textId="244A336B" w:rsidR="00E23378" w:rsidRPr="002252AD" w:rsidRDefault="00E23378" w:rsidP="00E23378">
      <w:pPr>
        <w:pStyle w:val="Grfico"/>
      </w:pPr>
      <w:r>
        <w:t>Figure 9: Field of Influence (average of 2010, 2013, 2016 and 2019) – 25 Sectors</w:t>
      </w:r>
    </w:p>
    <w:p w14:paraId="67728ED7" w14:textId="0ABDC356" w:rsidR="00291E23" w:rsidRDefault="00BD0CB0" w:rsidP="00327667">
      <w:pPr>
        <w:pStyle w:val="REFERENCIAS"/>
        <w:spacing w:line="360" w:lineRule="auto"/>
        <w:jc w:val="center"/>
        <w:rPr>
          <w:rFonts w:ascii="Times New Roman" w:hAnsi="Times New Roman" w:cs="Times New Roman"/>
        </w:rPr>
      </w:pPr>
      <w:r>
        <w:rPr>
          <w:rFonts w:ascii="Times New Roman" w:hAnsi="Times New Roman" w:cs="Times New Roman"/>
          <w:noProof/>
        </w:rPr>
        <w:drawing>
          <wp:inline distT="0" distB="0" distL="0" distR="0" wp14:anchorId="2CFB7523" wp14:editId="75A0243B">
            <wp:extent cx="5040630" cy="3360420"/>
            <wp:effectExtent l="0" t="0" r="1270" b="5080"/>
            <wp:docPr id="1753367340" name="Imagem 12" descr="Texto preto sobre fundo branc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3367340" name="Imagem 12" descr="Texto preto sobre fundo branco&#10;&#10;Descrição gerada automaticamente"/>
                    <pic:cNvPicPr/>
                  </pic:nvPicPr>
                  <pic:blipFill>
                    <a:blip r:embed="rId20" cstate="print">
                      <a:extLst>
                        <a:ext uri="{28A0092B-C50C-407E-A947-70E740481C1C}">
                          <a14:useLocalDpi xmlns:a14="http://schemas.microsoft.com/office/drawing/2010/main" val="0"/>
                        </a:ext>
                      </a:extLst>
                    </a:blip>
                    <a:stretch>
                      <a:fillRect/>
                    </a:stretch>
                  </pic:blipFill>
                  <pic:spPr>
                    <a:xfrm>
                      <a:off x="0" y="0"/>
                      <a:ext cx="5040630" cy="3360420"/>
                    </a:xfrm>
                    <a:prstGeom prst="rect">
                      <a:avLst/>
                    </a:prstGeom>
                  </pic:spPr>
                </pic:pic>
              </a:graphicData>
            </a:graphic>
          </wp:inline>
        </w:drawing>
      </w:r>
    </w:p>
    <w:p w14:paraId="44BD5169" w14:textId="77777777" w:rsidR="00B12A0A" w:rsidRPr="002252AD" w:rsidRDefault="00B12A0A" w:rsidP="00B12A0A">
      <w:pPr>
        <w:pStyle w:val="CORPO"/>
        <w:ind w:firstLine="0"/>
        <w:jc w:val="center"/>
        <w:rPr>
          <w:rFonts w:ascii="Times New Roman" w:hAnsi="Times New Roman" w:cs="Times New Roman"/>
          <w:sz w:val="18"/>
          <w:szCs w:val="18"/>
        </w:rPr>
      </w:pPr>
      <w:r>
        <w:rPr>
          <w:rFonts w:ascii="Times New Roman" w:hAnsi="Times New Roman"/>
          <w:sz w:val="18"/>
        </w:rPr>
        <w:t>Source: Original work based on estimated IOTs.</w:t>
      </w:r>
    </w:p>
    <w:p w14:paraId="2E8527DF" w14:textId="77777777" w:rsidR="000E35E3" w:rsidRDefault="000E35E3" w:rsidP="00B12A0A">
      <w:pPr>
        <w:pStyle w:val="Corpodetexto"/>
      </w:pPr>
    </w:p>
    <w:p w14:paraId="5E72173C" w14:textId="09C04215" w:rsidR="00B12A0A" w:rsidRPr="008C6796" w:rsidRDefault="00B12A0A" w:rsidP="00B12A0A">
      <w:pPr>
        <w:pStyle w:val="Corpodetexto"/>
        <w:rPr>
          <w:color w:val="5B9BD5" w:themeColor="accent5"/>
        </w:rPr>
      </w:pPr>
      <w:r>
        <w:t xml:space="preserve">According to Figure 9, among the 25 activities, the electricity sector has strong relations of both supply (lines) and demand (columns) with all sectors, second only to the </w:t>
      </w:r>
      <w:r>
        <w:rPr>
          <w:color w:val="000000" w:themeColor="text1"/>
        </w:rPr>
        <w:t xml:space="preserve">oil refining and coke ovens industry. In fact, from both perspectives, both sectors are the only ones to have links with all other activities that are above the average for the economy. </w:t>
      </w:r>
      <w:r w:rsidRPr="00B12A0A">
        <w:rPr>
          <w:color w:val="000000" w:themeColor="text1"/>
        </w:rPr>
        <w:fldChar w:fldCharType="begin"/>
      </w:r>
      <w:r w:rsidRPr="00B12A0A">
        <w:rPr>
          <w:color w:val="000000" w:themeColor="text1"/>
        </w:rPr>
        <w:instrText xml:space="preserve"> ADDIN ZOTERO_ITEM CSL_CITATION {"citationID":"hN8KanZJ","properties":{"formattedCitation":"(BERTUSSI; TAKASAGO; GUILHOTO, 2020)","plainCitation":"(BERTUSSI; TAKASAGO; GUILHOTO, 2020)","dontUpdate":true,"noteIndex":0},"citationItems":[{"id":106,"uris":["http://zotero.org/users/8767809/items/5BV3BXZT"],"itemData":{"id":106,"type":"article-journal","abstract":"In view of the need to expand investments in the country, in the current context of the Brazilian economy, and understanding the positive effects of investments in infrastructure, it is relevant to study the multiplier effects of this specific type of investment on the other sectors of the country’s economy. For this, the present study used the inputoutput matrix methodology, using data from 2011. The Rasmussen-Hirschman indices, which show the degree of linkage of the economic sectors, were calculated, considering that there is a connection both backwards and forwards. The fields of influence were also presented for each sector. The results show that the Transportation and Electricity sectors can be considered strategic for the development of the Brazilian economy.","container-title":"Análise Econômica","DOI":"10.22456/2176-5456.76395","ISSN":"2176-5456, 0102-9924","issue":"77","journalAbbreviation":"RAE","language":"pt","source":"DOI.org (Crossref)","title":"Infraestrutura Econômica no Brasil: uma análise de sua relevância sob a ótica de matriz insumo-produto.","title-short":"INFRAESTRUTURA ECONÔMICA NO BRASIL","URL":"https://seer.ufrgs.br/AnaliseEconomica/article/view/76395","volume":"38","author":[{"family":"Bertussi","given":"Geovana Lorena"},{"family":"Takasago","given":"Milene"},{"family":"Guilhoto","given":"Joaquim José Martins"}],"accessed":{"date-parts":[["2023",12,21]]},"issued":{"date-parts":[["2020",9,27]]}}}],"schema":"https://github.com/citation-style-language/schema/raw/master/csl-citation.json"} </w:instrText>
      </w:r>
      <w:r w:rsidRPr="00B12A0A">
        <w:rPr>
          <w:color w:val="000000" w:themeColor="text1"/>
        </w:rPr>
        <w:fldChar w:fldCharType="separate"/>
      </w:r>
      <w:r w:rsidRPr="00B12A0A">
        <w:rPr>
          <w:color w:val="000000" w:themeColor="text1"/>
        </w:rPr>
        <w:t>Bertussi, Takasago</w:t>
      </w:r>
      <w:r w:rsidR="005E365E">
        <w:rPr>
          <w:color w:val="000000" w:themeColor="text1"/>
        </w:rPr>
        <w:t xml:space="preserve"> and </w:t>
      </w:r>
      <w:r w:rsidRPr="00B12A0A">
        <w:rPr>
          <w:color w:val="000000" w:themeColor="text1"/>
        </w:rPr>
        <w:t>Guilhoto (2020)</w:t>
      </w:r>
      <w:r w:rsidRPr="00B12A0A">
        <w:rPr>
          <w:color w:val="000000" w:themeColor="text1"/>
        </w:rPr>
        <w:fldChar w:fldCharType="end"/>
      </w:r>
      <w:r>
        <w:rPr>
          <w:color w:val="000000" w:themeColor="text1"/>
        </w:rPr>
        <w:t xml:space="preserve"> also find that the electrical sector has a large field </w:t>
      </w:r>
      <w:r>
        <w:rPr>
          <w:color w:val="000000" w:themeColor="text1"/>
        </w:rPr>
        <w:lastRenderedPageBreak/>
        <w:t>of influence, classifying it – along with Transportation and Manufacturing– as one of the most important in the Brazilian economy in 2011.</w:t>
      </w:r>
    </w:p>
    <w:p w14:paraId="59F24B83" w14:textId="1DA798BF" w:rsidR="00B12A0A" w:rsidRDefault="00B12A0A" w:rsidP="00B12A0A">
      <w:pPr>
        <w:pStyle w:val="Corpodetexto"/>
      </w:pPr>
      <w:r>
        <w:t xml:space="preserve">Therefore, the chain analysis carried out in </w:t>
      </w:r>
      <w:r w:rsidR="0049446D">
        <w:t xml:space="preserve">the </w:t>
      </w:r>
      <w:r>
        <w:t>linkage</w:t>
      </w:r>
      <w:r w:rsidR="0049446D">
        <w:t xml:space="preserve"> indexes</w:t>
      </w:r>
      <w:r>
        <w:t xml:space="preserve"> is complemented by the field of influence: not only is the electricity sector key for the country, but changes in technical coefficients in the electricity sector promote above-average changes in all economic activities, both on the supply and demand side.</w:t>
      </w:r>
    </w:p>
    <w:p w14:paraId="71774221" w14:textId="77777777" w:rsidR="00477378" w:rsidRDefault="00477378" w:rsidP="00B12A0A">
      <w:pPr>
        <w:pStyle w:val="Corpodetexto"/>
      </w:pPr>
    </w:p>
    <w:p w14:paraId="11FC1F31" w14:textId="3A2899F7" w:rsidR="00477378" w:rsidRPr="00477378" w:rsidRDefault="00477378" w:rsidP="00477378">
      <w:pPr>
        <w:autoSpaceDE w:val="0"/>
        <w:autoSpaceDN w:val="0"/>
        <w:adjustRightInd w:val="0"/>
        <w:spacing w:after="0" w:line="260" w:lineRule="atLeast"/>
        <w:jc w:val="both"/>
        <w:textAlignment w:val="center"/>
        <w:outlineLvl w:val="0"/>
        <w:rPr>
          <w:rFonts w:ascii="Tahoma" w:hAnsi="Tahoma" w:cs="Tahoma"/>
          <w:b/>
          <w:color w:val="000000"/>
          <w:spacing w:val="2"/>
        </w:rPr>
      </w:pPr>
      <w:r>
        <w:rPr>
          <w:rFonts w:ascii="Tahoma" w:hAnsi="Tahoma"/>
          <w:b/>
          <w:color w:val="000000"/>
        </w:rPr>
        <w:t xml:space="preserve">5. Inter-Regional Analysis </w:t>
      </w:r>
    </w:p>
    <w:p w14:paraId="1045626F" w14:textId="77777777" w:rsidR="00477378" w:rsidRPr="00477378" w:rsidRDefault="00477378" w:rsidP="00477378">
      <w:pPr>
        <w:tabs>
          <w:tab w:val="center" w:pos="4800"/>
          <w:tab w:val="right" w:pos="9500"/>
        </w:tabs>
        <w:spacing w:after="0" w:line="260" w:lineRule="atLeast"/>
        <w:rPr>
          <w:rFonts w:ascii="Times New Roman" w:eastAsia="Times New Roman" w:hAnsi="Times New Roman"/>
          <w:b/>
          <w:sz w:val="24"/>
          <w:szCs w:val="24"/>
          <w:lang w:eastAsia="pt-BR"/>
        </w:rPr>
      </w:pPr>
    </w:p>
    <w:p w14:paraId="50DE08AD" w14:textId="27A62300" w:rsidR="00477378" w:rsidRPr="00477378" w:rsidRDefault="00477378" w:rsidP="00477378">
      <w:pPr>
        <w:autoSpaceDE w:val="0"/>
        <w:autoSpaceDN w:val="0"/>
        <w:adjustRightInd w:val="0"/>
        <w:spacing w:before="60" w:after="60" w:line="240" w:lineRule="auto"/>
        <w:ind w:firstLine="567"/>
        <w:jc w:val="both"/>
        <w:textAlignment w:val="center"/>
        <w:rPr>
          <w:rFonts w:ascii="Times New Roman" w:hAnsi="Times New Roman" w:cs="Baramond"/>
          <w:color w:val="000000"/>
        </w:rPr>
      </w:pPr>
      <w:r>
        <w:rPr>
          <w:rFonts w:ascii="Times New Roman" w:hAnsi="Times New Roman"/>
          <w:color w:val="000000"/>
        </w:rPr>
        <w:t xml:space="preserve">The national analysis makes it possible to assess the importance of the electricity sector from both a demand and a supply perspective, highlighting its high degree of interdependence with other productive activities and its evolution over the last decade. </w:t>
      </w:r>
      <w:r w:rsidR="004E2C7D">
        <w:rPr>
          <w:rFonts w:ascii="Times New Roman" w:hAnsi="Times New Roman"/>
          <w:color w:val="000000"/>
        </w:rPr>
        <w:t xml:space="preserve">The </w:t>
      </w:r>
      <w:r>
        <w:rPr>
          <w:rFonts w:ascii="Times New Roman" w:hAnsi="Times New Roman"/>
          <w:color w:val="000000"/>
        </w:rPr>
        <w:t xml:space="preserve">imminent threat of water and energy crises that Brazil has experienced in the last </w:t>
      </w:r>
      <w:r w:rsidR="004E2C7D">
        <w:rPr>
          <w:rFonts w:ascii="Times New Roman" w:hAnsi="Times New Roman"/>
          <w:color w:val="000000"/>
        </w:rPr>
        <w:t>further highlights</w:t>
      </w:r>
      <w:r>
        <w:rPr>
          <w:rFonts w:ascii="Times New Roman" w:hAnsi="Times New Roman"/>
          <w:color w:val="000000"/>
        </w:rPr>
        <w:t xml:space="preserve"> that new investments in the sector are needed to expand and diversify its energy distribution and generation capacity.</w:t>
      </w:r>
    </w:p>
    <w:p w14:paraId="70FFB235" w14:textId="114C127D" w:rsidR="00477378" w:rsidRPr="00477378" w:rsidRDefault="00477378" w:rsidP="00477378">
      <w:pPr>
        <w:autoSpaceDE w:val="0"/>
        <w:autoSpaceDN w:val="0"/>
        <w:adjustRightInd w:val="0"/>
        <w:spacing w:before="60" w:after="60" w:line="240" w:lineRule="auto"/>
        <w:ind w:firstLine="567"/>
        <w:jc w:val="both"/>
        <w:textAlignment w:val="center"/>
        <w:rPr>
          <w:rFonts w:ascii="Times New Roman" w:hAnsi="Times New Roman" w:cs="Baramond"/>
          <w:color w:val="000000"/>
        </w:rPr>
      </w:pPr>
      <w:r>
        <w:rPr>
          <w:rFonts w:ascii="Times New Roman" w:hAnsi="Times New Roman"/>
          <w:color w:val="000000"/>
        </w:rPr>
        <w:t>However, in a continental country with increasing budget restrictions like Brazil, it is necessary to decide in which state or region to invest. To answer this question, we will use the 2013 Inter-Regional IOT, estimated from NFe data obtained from the Federal Tax Service for 27 UFs and 68 sectors</w:t>
      </w:r>
      <w:r w:rsidR="008F6024">
        <w:rPr>
          <w:rFonts w:ascii="Times New Roman" w:hAnsi="Times New Roman"/>
          <w:color w:val="000000"/>
        </w:rPr>
        <w:t xml:space="preserve"> </w:t>
      </w:r>
      <w:r w:rsidR="008F6024" w:rsidRPr="00477378">
        <w:rPr>
          <w:rFonts w:ascii="Times New Roman" w:hAnsi="Times New Roman" w:cs="Baramond"/>
          <w:color w:val="000000"/>
        </w:rPr>
        <w:fldChar w:fldCharType="begin"/>
      </w:r>
      <w:r w:rsidR="008F6024" w:rsidRPr="00477378">
        <w:rPr>
          <w:rFonts w:ascii="Times New Roman" w:hAnsi="Times New Roman" w:cs="Baramond"/>
          <w:color w:val="000000"/>
        </w:rPr>
        <w:instrText xml:space="preserve"> ADDIN ZOTERO_ITEM CSL_CITATION {"citationID":"ohZuJsaM","properties":{"formattedCitation":"(OLIVEIRA, 2020)","plainCitation":"(OLIVEIRA, 2020)","noteIndex":0},"citationItems":[{"id":42,"uris":["http://zotero.org/users/8767809/items/VBKAAHXN",["http://zotero.org/users/8767809/items/VBKAAHXN"]],"itemData":{"id":42,"type":"thesis","abstract":"A alta carga tributária brasileira e sua complexidade tem merecido crescente atenção dos estudos \neconômicos. Diversas propostas de reforma tributária do sistema de tributos sobre o consumo de bens \ne serviços foram formuladas. A motivação principal para a mudança é a hipótese de que ele distorce a \nestrutura produtiva levando à alocação incorreta de recursos, gerando perdas de eficiência. Este \nestudo analisou os impactos econômicos nas dimensões regionais e setoriais de mudanças no sistema \nde cobrança desses impostos com o objetivo de confirmar essa hipótese. Utilizando modelo de EGC \ndinâmico com migração laboral e espacial, realizou simulações para vinte anos em cenários \ncontrafactuais à linha base da economia para obter resultados dos impactos em cada cenário sobre \nPIB, emprego e produtividade. Para alimentar o modelo, utilizou-se dados mundiais de comercio e \nestimou-se, de forma inédita, a matriz insumo-produto regional brasileira a partir dos dados da Nota \nFiscal Eletrônica. Também se estimou a matriz de fluxo migratório laboral intersetorial e inter-regional. \nOs resultados das simulações mostram que há ganhos alocativos relevantes de produção e de \nprodutividade com a mudança da sistemática tributária para um tributo único, com alíquota única \nincidente sobre o valor adicionado, quando se utiliza alíquota que garante o nível de arrecadação atual. \nUma alíquota um pouco abaixo desse valor provoca ganhos ainda maiores e a transição realizada em \ndez anos permite melhor realocação que a realizada em seis. Não há variação positiva ou negativa \nacima de 1%. Porém, há expressivos ganhos de produtividade em alguns setores e UFs. Os setores \nque mais produzem ganhos são a Indústria de transformação e a Distribuição de água e energia com \nefeitos positivos na maior parte das UFs. Os setores que mais perdem são a Agropecuária e \nHospedagem e alimentação. Dentre as UFs que mais ganham estão São Paulo, Acre e Amazonas. As \nque mais perdem são o Distrito Federal, Roraima, Amapá e Pernambuco. A maioria das UFs ganham \nem uns setores e perdem em outros, mas a maioria tem saldo positivo. Os resultados obtidos mostram \nque a mudança deve ser avaliada considerando a eficiência alocativa e não apenas a arrecadação e o \nbalanço fiscal.","event-place":"Brasília","genre":"Doutorado em Economia","language":"Português","license":"Acesso Aberto","note":"Accepted: 2020-07-01T14:29:09Z","publisher":"Universídade de Brasília","publisher-place":"Brasília","source":"repositorio.unb.br","title":"Efeitos da equalização tributária regional/setorial no Brasil: uma aplicação de equilíbrio geral dinâmico","title-short":"Efeitos da equalização tributária regional/setorial no Brasil","URL":"https://repositorio.unb.br/handle/10482/38622","author":[{"family":"Oliveira","given":"João Maria","dropping-particle":"de"}],"accessed":{"date-parts":[["2021",11,19]]},"issued":{"date-parts":[["2020"]]}}}],"schema":"https://github.com/citation-style-language/schema/raw/master/csl-citation.json"} </w:instrText>
      </w:r>
      <w:r w:rsidR="008F6024" w:rsidRPr="00477378">
        <w:rPr>
          <w:rFonts w:ascii="Times New Roman" w:hAnsi="Times New Roman" w:cs="Baramond"/>
          <w:color w:val="000000"/>
        </w:rPr>
        <w:fldChar w:fldCharType="separate"/>
      </w:r>
      <w:r w:rsidR="008F6024" w:rsidRPr="00477378">
        <w:rPr>
          <w:rFonts w:ascii="Times New Roman" w:hAnsi="Times New Roman" w:cs="Baramond"/>
          <w:color w:val="000000"/>
        </w:rPr>
        <w:t>(</w:t>
      </w:r>
      <w:r w:rsidR="008F6024">
        <w:rPr>
          <w:rFonts w:ascii="Times New Roman" w:hAnsi="Times New Roman" w:cs="Baramond"/>
          <w:color w:val="000000"/>
        </w:rPr>
        <w:t>Oliveira</w:t>
      </w:r>
      <w:r w:rsidR="008F6024" w:rsidRPr="00477378">
        <w:rPr>
          <w:rFonts w:ascii="Times New Roman" w:hAnsi="Times New Roman" w:cs="Baramond"/>
          <w:color w:val="000000"/>
        </w:rPr>
        <w:t>, 2020)</w:t>
      </w:r>
      <w:r w:rsidR="008F6024" w:rsidRPr="00477378">
        <w:rPr>
          <w:rFonts w:ascii="Times New Roman" w:hAnsi="Times New Roman" w:cs="Baramond"/>
          <w:color w:val="000000"/>
        </w:rPr>
        <w:fldChar w:fldCharType="end"/>
      </w:r>
      <w:r>
        <w:rPr>
          <w:rFonts w:ascii="Times New Roman" w:hAnsi="Times New Roman"/>
          <w:color w:val="000000"/>
        </w:rPr>
        <w:t>.</w:t>
      </w:r>
    </w:p>
    <w:p w14:paraId="1C648189" w14:textId="2E6E01CE" w:rsidR="00477378" w:rsidRPr="00477378" w:rsidRDefault="00477378" w:rsidP="00477378">
      <w:pPr>
        <w:autoSpaceDE w:val="0"/>
        <w:autoSpaceDN w:val="0"/>
        <w:adjustRightInd w:val="0"/>
        <w:spacing w:before="60" w:after="60" w:line="240" w:lineRule="auto"/>
        <w:ind w:firstLine="567"/>
        <w:jc w:val="both"/>
        <w:textAlignment w:val="center"/>
        <w:rPr>
          <w:rFonts w:ascii="Times New Roman" w:hAnsi="Times New Roman" w:cs="Baramond"/>
          <w:color w:val="000000"/>
        </w:rPr>
      </w:pPr>
      <w:r>
        <w:rPr>
          <w:rFonts w:ascii="Times New Roman" w:hAnsi="Times New Roman"/>
          <w:color w:val="000000"/>
        </w:rPr>
        <w:t>The objective of this section is to analyze how investment shocks in the electricity sector propagate when applied separately in different regions. The aim is to identify which regions have the highest potential impact and most significant spillovers, i.e. the largest effects on output and economic activity in other states.</w:t>
      </w:r>
    </w:p>
    <w:p w14:paraId="56CA15FF" w14:textId="0832B2B1" w:rsidR="00477378" w:rsidRPr="00477378" w:rsidRDefault="00477378" w:rsidP="00477378">
      <w:pPr>
        <w:autoSpaceDE w:val="0"/>
        <w:autoSpaceDN w:val="0"/>
        <w:adjustRightInd w:val="0"/>
        <w:spacing w:before="60" w:after="60" w:line="240" w:lineRule="auto"/>
        <w:ind w:firstLine="567"/>
        <w:jc w:val="both"/>
        <w:textAlignment w:val="center"/>
        <w:rPr>
          <w:rFonts w:ascii="Times New Roman" w:hAnsi="Times New Roman" w:cs="Baramond"/>
          <w:color w:val="000000"/>
        </w:rPr>
      </w:pPr>
      <w:r>
        <w:rPr>
          <w:rFonts w:ascii="Times New Roman" w:hAnsi="Times New Roman"/>
          <w:color w:val="000000"/>
        </w:rPr>
        <w:t xml:space="preserve">This question is relevant given the great heterogeneity among Brazilian regions, since, as shown </w:t>
      </w:r>
      <w:r w:rsidRPr="00477378">
        <w:rPr>
          <w:rFonts w:ascii="Times New Roman" w:hAnsi="Times New Roman" w:cs="Baramond"/>
          <w:color w:val="000000"/>
        </w:rPr>
        <w:fldChar w:fldCharType="begin"/>
      </w:r>
      <w:r w:rsidRPr="00477378">
        <w:rPr>
          <w:rFonts w:ascii="Times New Roman" w:hAnsi="Times New Roman" w:cs="Baramond"/>
          <w:color w:val="000000"/>
        </w:rPr>
        <w:instrText xml:space="preserve"> ADDIN ZOTERO_ITEM CSL_CITATION {"citationID":"tyajAnFn","properties":{"formattedCitation":"(OLIVEIRA, 2020)","plainCitation":"(OLIVEIRA, 2020)","dontUpdate":true,"noteIndex":0},"citationItems":[{"id":42,"uris":["http://zotero.org/users/8767809/items/VBKAAHXN",["http://zotero.org/users/8767809/items/VBKAAHXN"]],"itemData":{"id":42,"type":"thesis","abstract":"A alta carga tributária brasileira e sua complexidade tem merecido crescente atenção dos estudos \neconômicos. Diversas propostas de reforma tributária do sistema de tributos sobre o consumo de bens \ne serviços foram formuladas. A motivação principal para a mudança é a hipótese de que ele distorce a \nestrutura produtiva levando à alocação incorreta de recursos, gerando perdas de eficiência. Este \nestudo analisou os impactos econômicos nas dimensões regionais e setoriais de mudanças no sistema \nde cobrança desses impostos com o objetivo de confirmar essa hipótese. Utilizando modelo de EGC \ndinâmico com migração laboral e espacial, realizou simulações para vinte anos em cenários \ncontrafactuais à linha base da economia para obter resultados dos impactos em cada cenário sobre \nPIB, emprego e produtividade. Para alimentar o modelo, utilizou-se dados mundiais de comercio e \nestimou-se, de forma inédita, a matriz insumo-produto regional brasileira a partir dos dados da Nota \nFiscal Eletrônica. Também se estimou a matriz de fluxo migratório laboral intersetorial e inter-regional. \nOs resultados das simulações mostram que há ganhos alocativos relevantes de produção e de \nprodutividade com a mudança da sistemática tributária para um tributo único, com alíquota única \nincidente sobre o valor adicionado, quando se utiliza alíquota que garante o nível de arrecadação atual. \nUma alíquota um pouco abaixo desse valor provoca ganhos ainda maiores e a transição realizada em \ndez anos permite melhor realocação que a realizada em seis. Não há variação positiva ou negativa \nacima de 1%. Porém, há expressivos ganhos de produtividade em alguns setores e UFs. Os setores \nque mais produzem ganhos são a Indústria de transformação e a Distribuição de água e energia com \nefeitos positivos na maior parte das UFs. Os setores que mais perdem são a Agropecuária e \nHospedagem e alimentação. Dentre as UFs que mais ganham estão São Paulo, Acre e Amazonas. As \nque mais perdem são o Distrito Federal, Roraima, Amapá e Pernambuco. A maioria das UFs ganham \nem uns setores e perdem em outros, mas a maioria tem saldo positivo. Os resultados obtidos mostram \nque a mudança deve ser avaliada considerando a eficiência alocativa e não apenas a arrecadação e o \nbalanço fiscal.","event-place":"Brasília","genre":"Doutorado em Economia","language":"Português","license":"Acesso Aberto","note":"Accepted: 2020-07-01T14:29:09Z","publisher":"Universídade de Brasília","publisher-place":"Brasília","source":"repositorio.unb.br","title":"Efeitos da equalização tributária regional/setorial no Brasil: uma aplicação de equilíbrio geral dinâmico","title-short":"Efeitos da equalização tributária regional/setorial no Brasil","URL":"https://repositorio.unb.br/handle/10482/38622","author":[{"family":"Oliveira","given":"João Maria","dropping-particle":"de"}],"accessed":{"date-parts":[["2021",11,19]]},"issued":{"date-parts":[["2020"]]}}}],"schema":"https://github.com/citation-style-language/schema/raw/master/csl-citation.json"} </w:instrText>
      </w:r>
      <w:r w:rsidRPr="00477378">
        <w:rPr>
          <w:rFonts w:ascii="Times New Roman" w:hAnsi="Times New Roman" w:cs="Baramond"/>
          <w:color w:val="000000"/>
        </w:rPr>
        <w:fldChar w:fldCharType="separate"/>
      </w:r>
      <w:r w:rsidRPr="00477378">
        <w:rPr>
          <w:rFonts w:ascii="Times New Roman" w:hAnsi="Times New Roman" w:cs="Baramond"/>
          <w:color w:val="000000"/>
        </w:rPr>
        <w:t>Oliveira (2020)</w:t>
      </w:r>
      <w:r w:rsidRPr="00477378">
        <w:rPr>
          <w:rFonts w:ascii="Times New Roman" w:hAnsi="Times New Roman" w:cs="Baramond"/>
          <w:color w:val="000000"/>
        </w:rPr>
        <w:fldChar w:fldCharType="end"/>
      </w:r>
      <w:r>
        <w:rPr>
          <w:rFonts w:ascii="Times New Roman" w:hAnsi="Times New Roman"/>
          <w:color w:val="000000"/>
        </w:rPr>
        <w:t xml:space="preserve">, isolated shocks in different locations in the country have very different effects on production and on the components of </w:t>
      </w:r>
      <w:r w:rsidR="002A5DA2">
        <w:rPr>
          <w:rFonts w:ascii="Times New Roman" w:hAnsi="Times New Roman"/>
          <w:color w:val="000000"/>
        </w:rPr>
        <w:t>value added</w:t>
      </w:r>
      <w:r>
        <w:rPr>
          <w:rFonts w:ascii="Times New Roman" w:hAnsi="Times New Roman"/>
          <w:color w:val="000000"/>
        </w:rPr>
        <w:t>. Therefore, the aim of this section is to consider these differences in order to discuss the most effective investment strategies, guiding public policies towards places that have the greatest economic impacts and the greatest effects on reducing inter-regional inequalities.</w:t>
      </w:r>
    </w:p>
    <w:p w14:paraId="21BABE71" w14:textId="2C6D4204" w:rsidR="00477378" w:rsidRPr="00477378" w:rsidRDefault="00477378" w:rsidP="00477378">
      <w:pPr>
        <w:autoSpaceDE w:val="0"/>
        <w:autoSpaceDN w:val="0"/>
        <w:adjustRightInd w:val="0"/>
        <w:spacing w:before="60" w:after="60" w:line="240" w:lineRule="auto"/>
        <w:ind w:firstLine="567"/>
        <w:jc w:val="both"/>
        <w:textAlignment w:val="center"/>
        <w:rPr>
          <w:rFonts w:ascii="Times New Roman" w:hAnsi="Times New Roman" w:cs="Baramond"/>
          <w:color w:val="000000"/>
          <w:spacing w:val="-4"/>
        </w:rPr>
      </w:pPr>
      <w:r>
        <w:rPr>
          <w:rFonts w:ascii="Times New Roman" w:hAnsi="Times New Roman"/>
          <w:color w:val="000000"/>
        </w:rPr>
        <w:t>In addition, the interconnectedness of sectors in different states and regions implies that the impact of shocks in a given location is spread throughout the country, given the dependence on inputs and goods and services from elsewhere, known in the literature as spillover effects. Thus, the simulated shocks seek to analyze the regional and national impacts of the increase in investment in the electricity sector, as well as evaluate its spillovers to other Brazilian locations and verify the costs and benefits of regional diversification of its investments and production.</w:t>
      </w:r>
    </w:p>
    <w:p w14:paraId="1428B09F" w14:textId="16CB0326" w:rsidR="00477378" w:rsidRDefault="00477378" w:rsidP="00477378">
      <w:pPr>
        <w:autoSpaceDE w:val="0"/>
        <w:autoSpaceDN w:val="0"/>
        <w:adjustRightInd w:val="0"/>
        <w:spacing w:before="60" w:after="60" w:line="240" w:lineRule="auto"/>
        <w:ind w:firstLine="567"/>
        <w:jc w:val="both"/>
        <w:textAlignment w:val="center"/>
        <w:rPr>
          <w:rFonts w:ascii="Times New Roman" w:hAnsi="Times New Roman" w:cs="Baramond"/>
          <w:color w:val="000000"/>
        </w:rPr>
      </w:pPr>
      <w:r>
        <w:rPr>
          <w:rFonts w:ascii="Times New Roman" w:hAnsi="Times New Roman"/>
          <w:color w:val="000000"/>
        </w:rPr>
        <w:t xml:space="preserve">First, it is important to analyze the subnational structure of the electricity sector. From a regional perspective, more than a third of the country's electricity generation in 2013 was concentrated in the Southeast, followed by the South (27.4%), Northeast (14%), North (12.6%), and </w:t>
      </w:r>
      <w:r w:rsidR="00BD0CB0">
        <w:rPr>
          <w:rFonts w:ascii="Times New Roman" w:hAnsi="Times New Roman"/>
          <w:color w:val="000000"/>
        </w:rPr>
        <w:t>Midw</w:t>
      </w:r>
      <w:r>
        <w:rPr>
          <w:rFonts w:ascii="Times New Roman" w:hAnsi="Times New Roman"/>
          <w:color w:val="000000"/>
        </w:rPr>
        <w:t>est (12.1%)</w:t>
      </w:r>
      <w:r w:rsidR="00BD0CB0">
        <w:rPr>
          <w:rFonts w:ascii="Times New Roman" w:hAnsi="Times New Roman"/>
          <w:color w:val="000000"/>
        </w:rPr>
        <w:t xml:space="preserve"> </w:t>
      </w:r>
      <w:r w:rsidRPr="00477378">
        <w:rPr>
          <w:rFonts w:ascii="Times New Roman" w:hAnsi="Times New Roman" w:cs="Baramond"/>
          <w:color w:val="000000"/>
        </w:rPr>
        <w:fldChar w:fldCharType="begin"/>
      </w:r>
      <w:r w:rsidRPr="00477378">
        <w:rPr>
          <w:rFonts w:ascii="Times New Roman" w:hAnsi="Times New Roman" w:cs="Baramond"/>
          <w:color w:val="000000"/>
        </w:rPr>
        <w:instrText xml:space="preserve"> ADDIN ZOTERO_ITEM CSL_CITATION {"citationID":"1G3ZYDhM","properties":{"formattedCitation":"(BRASIL, 2021)","plainCitation":"(BRASIL, 2021)","noteIndex":0},"citationItems":[{"id":9,"uris":["http://zotero.org/users/8767809/items/F54QHKBL",["http://zotero.org/users/8767809/items/F54QHKBL"]],"itemData":{"id":9,"type":"document","publisher":"Ministério de Minas e Energia","title":"Anuário Estatístico de Energia Elétrica 2021 - ano base 2020","URL":"https://www.epe.gov.br/pt/publicacoes-dados-abertos/publicacoes/anuario-estatistico-de-energia-eletrica","author":[{"family":"Brasil","given":""}],"accessed":{"date-parts":[["2021",10,7]]},"issued":{"date-parts":[["2021"]]}}}],"schema":"https://github.com/citation-style-language/schema/raw/master/csl-citation.json"} </w:instrText>
      </w:r>
      <w:r w:rsidRPr="00477378">
        <w:rPr>
          <w:rFonts w:ascii="Times New Roman" w:hAnsi="Times New Roman" w:cs="Baramond"/>
          <w:color w:val="000000"/>
        </w:rPr>
        <w:fldChar w:fldCharType="separate"/>
      </w:r>
      <w:r w:rsidRPr="00477378">
        <w:rPr>
          <w:rFonts w:ascii="Times New Roman" w:hAnsi="Times New Roman" w:cs="Baramond"/>
          <w:color w:val="000000"/>
        </w:rPr>
        <w:t>(</w:t>
      </w:r>
      <w:r w:rsidR="00BD0CB0">
        <w:rPr>
          <w:rFonts w:ascii="Times New Roman" w:hAnsi="Times New Roman" w:cs="Baramond"/>
          <w:color w:val="000000"/>
        </w:rPr>
        <w:t>Brazil</w:t>
      </w:r>
      <w:r w:rsidRPr="00477378">
        <w:rPr>
          <w:rFonts w:ascii="Times New Roman" w:hAnsi="Times New Roman" w:cs="Baramond"/>
          <w:color w:val="000000"/>
        </w:rPr>
        <w:t>, 2021)</w:t>
      </w:r>
      <w:r w:rsidRPr="00477378">
        <w:rPr>
          <w:rFonts w:ascii="Times New Roman" w:hAnsi="Times New Roman" w:cs="Baramond"/>
          <w:color w:val="000000"/>
        </w:rPr>
        <w:fldChar w:fldCharType="end"/>
      </w:r>
      <w:r>
        <w:rPr>
          <w:rFonts w:ascii="Times New Roman" w:hAnsi="Times New Roman"/>
          <w:color w:val="000000"/>
        </w:rPr>
        <w:t xml:space="preserve">. This composition is also reflected in </w:t>
      </w:r>
      <w:r>
        <w:rPr>
          <w:rFonts w:ascii="Times New Roman" w:hAnsi="Times New Roman"/>
          <w:color w:val="000000"/>
        </w:rPr>
        <w:lastRenderedPageBreak/>
        <w:t xml:space="preserve">the estimated values ​​for the 2013 IOT </w:t>
      </w:r>
      <w:r w:rsidR="00241269">
        <w:rPr>
          <w:rFonts w:ascii="Times New Roman" w:hAnsi="Times New Roman"/>
          <w:color w:val="000000"/>
        </w:rPr>
        <w:t xml:space="preserve">shown in </w:t>
      </w:r>
      <w:r>
        <w:rPr>
          <w:rFonts w:ascii="Times New Roman" w:hAnsi="Times New Roman"/>
          <w:color w:val="000000"/>
        </w:rPr>
        <w:t>Table 2, in which the Southeast region, being also the main consumption hub, has an even greater weight in relation to the total, concentrating 5</w:t>
      </w:r>
      <w:r w:rsidR="00241269">
        <w:rPr>
          <w:rFonts w:ascii="Times New Roman" w:hAnsi="Times New Roman"/>
          <w:color w:val="000000"/>
        </w:rPr>
        <w:t>2.4</w:t>
      </w:r>
      <w:r>
        <w:rPr>
          <w:rFonts w:ascii="Times New Roman" w:hAnsi="Times New Roman"/>
          <w:color w:val="000000"/>
        </w:rPr>
        <w:t>% of the Gross Fixed Capital Formation (GFCF) and 43</w:t>
      </w:r>
      <w:r w:rsidR="0049549C">
        <w:rPr>
          <w:rFonts w:ascii="Times New Roman" w:hAnsi="Times New Roman"/>
          <w:color w:val="000000"/>
        </w:rPr>
        <w:t>.4</w:t>
      </w:r>
      <w:r>
        <w:rPr>
          <w:rFonts w:ascii="Times New Roman" w:hAnsi="Times New Roman"/>
          <w:color w:val="000000"/>
        </w:rPr>
        <w:t>% of production and final demand.</w:t>
      </w:r>
    </w:p>
    <w:p w14:paraId="286F36FD" w14:textId="77777777" w:rsidR="000E35E3" w:rsidRPr="00477378" w:rsidRDefault="000E35E3" w:rsidP="00477378">
      <w:pPr>
        <w:autoSpaceDE w:val="0"/>
        <w:autoSpaceDN w:val="0"/>
        <w:adjustRightInd w:val="0"/>
        <w:spacing w:before="60" w:after="60" w:line="240" w:lineRule="auto"/>
        <w:ind w:firstLine="567"/>
        <w:jc w:val="both"/>
        <w:textAlignment w:val="center"/>
        <w:rPr>
          <w:rFonts w:ascii="Times New Roman" w:hAnsi="Times New Roman" w:cs="Baramond"/>
          <w:color w:val="000000"/>
          <w:lang w:eastAsia="pt-BR"/>
        </w:rPr>
      </w:pPr>
    </w:p>
    <w:p w14:paraId="118D899D" w14:textId="6B522CD3" w:rsidR="000E35E3" w:rsidRPr="002252AD" w:rsidRDefault="000E35E3" w:rsidP="000E35E3">
      <w:pPr>
        <w:pStyle w:val="Tabela"/>
      </w:pPr>
      <w:r>
        <w:t>Table 2: Regional Composition of Investment, Production and Final Demand of the Electricity Sector in the Inter-Regional IOT 2013 (</w:t>
      </w:r>
      <w:r w:rsidR="00FD318E">
        <w:t>BRL</w:t>
      </w:r>
      <w:r>
        <w:t xml:space="preserve"> Million in 2013)</w:t>
      </w:r>
    </w:p>
    <w:tbl>
      <w:tblPr>
        <w:tblW w:w="5000" w:type="pct"/>
        <w:jc w:val="center"/>
        <w:tblCellMar>
          <w:left w:w="70" w:type="dxa"/>
          <w:right w:w="70" w:type="dxa"/>
        </w:tblCellMar>
        <w:tblLook w:val="04A0" w:firstRow="1" w:lastRow="0" w:firstColumn="1" w:lastColumn="0" w:noHBand="0" w:noVBand="1"/>
      </w:tblPr>
      <w:tblGrid>
        <w:gridCol w:w="1849"/>
        <w:gridCol w:w="1141"/>
        <w:gridCol w:w="890"/>
        <w:gridCol w:w="1140"/>
        <w:gridCol w:w="889"/>
        <w:gridCol w:w="1140"/>
        <w:gridCol w:w="889"/>
      </w:tblGrid>
      <w:tr w:rsidR="000E35E3" w:rsidRPr="00895557" w14:paraId="4035075E" w14:textId="77777777" w:rsidTr="00385866">
        <w:trPr>
          <w:trHeight w:val="426"/>
          <w:tblHeader/>
          <w:jc w:val="center"/>
        </w:trPr>
        <w:tc>
          <w:tcPr>
            <w:tcW w:w="1164" w:type="pct"/>
            <w:tcBorders>
              <w:top w:val="double" w:sz="6" w:space="0" w:color="auto"/>
              <w:left w:val="nil"/>
              <w:bottom w:val="single" w:sz="4" w:space="0" w:color="auto"/>
              <w:right w:val="single" w:sz="4" w:space="0" w:color="auto"/>
            </w:tcBorders>
            <w:shd w:val="clear" w:color="auto" w:fill="auto"/>
            <w:noWrap/>
            <w:vAlign w:val="center"/>
            <w:hideMark/>
          </w:tcPr>
          <w:p w14:paraId="7DE50414" w14:textId="77777777" w:rsidR="000E35E3" w:rsidRPr="00895557" w:rsidRDefault="000E35E3" w:rsidP="00385866">
            <w:pPr>
              <w:rPr>
                <w:rFonts w:ascii="Times New Roman" w:hAnsi="Times New Roman"/>
                <w:b/>
                <w:bCs/>
                <w:color w:val="000000"/>
                <w:sz w:val="20"/>
                <w:szCs w:val="20"/>
              </w:rPr>
            </w:pPr>
            <w:r>
              <w:rPr>
                <w:rFonts w:ascii="Times New Roman" w:hAnsi="Times New Roman"/>
                <w:b/>
                <w:color w:val="000000"/>
                <w:sz w:val="20"/>
              </w:rPr>
              <w:t>Region</w:t>
            </w:r>
          </w:p>
        </w:tc>
        <w:tc>
          <w:tcPr>
            <w:tcW w:w="718" w:type="pct"/>
            <w:tcBorders>
              <w:top w:val="double" w:sz="6" w:space="0" w:color="auto"/>
              <w:left w:val="nil"/>
              <w:bottom w:val="single" w:sz="4" w:space="0" w:color="auto"/>
              <w:right w:val="single" w:sz="4" w:space="0" w:color="auto"/>
            </w:tcBorders>
            <w:shd w:val="clear" w:color="auto" w:fill="auto"/>
            <w:noWrap/>
            <w:vAlign w:val="center"/>
            <w:hideMark/>
          </w:tcPr>
          <w:p w14:paraId="55DA6E5F" w14:textId="77777777" w:rsidR="000E35E3" w:rsidRPr="00895557" w:rsidRDefault="000E35E3" w:rsidP="00385866">
            <w:pPr>
              <w:jc w:val="center"/>
              <w:rPr>
                <w:rFonts w:ascii="Times New Roman" w:hAnsi="Times New Roman"/>
                <w:b/>
                <w:bCs/>
                <w:color w:val="000000"/>
                <w:sz w:val="20"/>
                <w:szCs w:val="20"/>
              </w:rPr>
            </w:pPr>
            <w:r>
              <w:rPr>
                <w:rFonts w:ascii="Times New Roman" w:hAnsi="Times New Roman"/>
                <w:b/>
                <w:color w:val="000000"/>
                <w:sz w:val="20"/>
              </w:rPr>
              <w:t>GFCF</w:t>
            </w:r>
          </w:p>
        </w:tc>
        <w:tc>
          <w:tcPr>
            <w:tcW w:w="560" w:type="pct"/>
            <w:tcBorders>
              <w:top w:val="double" w:sz="6" w:space="0" w:color="auto"/>
              <w:left w:val="nil"/>
              <w:bottom w:val="single" w:sz="4" w:space="0" w:color="auto"/>
              <w:right w:val="single" w:sz="4" w:space="0" w:color="auto"/>
            </w:tcBorders>
            <w:shd w:val="clear" w:color="auto" w:fill="auto"/>
            <w:noWrap/>
            <w:vAlign w:val="center"/>
            <w:hideMark/>
          </w:tcPr>
          <w:p w14:paraId="37C91D23" w14:textId="77777777" w:rsidR="000E35E3" w:rsidRPr="00895557" w:rsidRDefault="000E35E3" w:rsidP="00385866">
            <w:pPr>
              <w:jc w:val="center"/>
              <w:rPr>
                <w:rFonts w:ascii="Times New Roman" w:hAnsi="Times New Roman"/>
                <w:b/>
                <w:bCs/>
                <w:color w:val="000000"/>
                <w:sz w:val="20"/>
                <w:szCs w:val="20"/>
              </w:rPr>
            </w:pPr>
            <w:r>
              <w:rPr>
                <w:rFonts w:ascii="Times New Roman" w:hAnsi="Times New Roman"/>
                <w:b/>
                <w:color w:val="000000"/>
                <w:sz w:val="20"/>
              </w:rPr>
              <w:t>%</w:t>
            </w:r>
          </w:p>
        </w:tc>
        <w:tc>
          <w:tcPr>
            <w:tcW w:w="718" w:type="pct"/>
            <w:tcBorders>
              <w:top w:val="double" w:sz="6" w:space="0" w:color="auto"/>
              <w:left w:val="nil"/>
              <w:bottom w:val="single" w:sz="4" w:space="0" w:color="auto"/>
              <w:right w:val="single" w:sz="4" w:space="0" w:color="auto"/>
            </w:tcBorders>
            <w:shd w:val="clear" w:color="auto" w:fill="auto"/>
            <w:noWrap/>
            <w:vAlign w:val="center"/>
            <w:hideMark/>
          </w:tcPr>
          <w:p w14:paraId="396F8D66" w14:textId="77777777" w:rsidR="000E35E3" w:rsidRPr="00895557" w:rsidRDefault="000E35E3" w:rsidP="00385866">
            <w:pPr>
              <w:jc w:val="center"/>
              <w:rPr>
                <w:rFonts w:ascii="Times New Roman" w:hAnsi="Times New Roman"/>
                <w:b/>
                <w:bCs/>
                <w:color w:val="000000"/>
                <w:sz w:val="20"/>
                <w:szCs w:val="20"/>
              </w:rPr>
            </w:pPr>
            <w:r>
              <w:rPr>
                <w:rFonts w:ascii="Times New Roman" w:hAnsi="Times New Roman"/>
                <w:b/>
                <w:color w:val="000000"/>
                <w:sz w:val="20"/>
              </w:rPr>
              <w:t>Production</w:t>
            </w:r>
          </w:p>
        </w:tc>
        <w:tc>
          <w:tcPr>
            <w:tcW w:w="560" w:type="pct"/>
            <w:tcBorders>
              <w:top w:val="double" w:sz="6" w:space="0" w:color="auto"/>
              <w:left w:val="nil"/>
              <w:bottom w:val="single" w:sz="4" w:space="0" w:color="auto"/>
              <w:right w:val="single" w:sz="4" w:space="0" w:color="auto"/>
            </w:tcBorders>
            <w:shd w:val="clear" w:color="auto" w:fill="auto"/>
            <w:noWrap/>
            <w:vAlign w:val="center"/>
            <w:hideMark/>
          </w:tcPr>
          <w:p w14:paraId="0790590D" w14:textId="77777777" w:rsidR="000E35E3" w:rsidRPr="00895557" w:rsidRDefault="000E35E3" w:rsidP="00385866">
            <w:pPr>
              <w:jc w:val="center"/>
              <w:rPr>
                <w:rFonts w:ascii="Times New Roman" w:hAnsi="Times New Roman"/>
                <w:b/>
                <w:bCs/>
                <w:color w:val="000000"/>
                <w:sz w:val="20"/>
                <w:szCs w:val="20"/>
              </w:rPr>
            </w:pPr>
            <w:r>
              <w:rPr>
                <w:rFonts w:ascii="Times New Roman" w:hAnsi="Times New Roman"/>
                <w:b/>
                <w:color w:val="000000"/>
                <w:sz w:val="20"/>
              </w:rPr>
              <w:t>%</w:t>
            </w:r>
          </w:p>
        </w:tc>
        <w:tc>
          <w:tcPr>
            <w:tcW w:w="718" w:type="pct"/>
            <w:tcBorders>
              <w:top w:val="double" w:sz="6" w:space="0" w:color="auto"/>
              <w:left w:val="nil"/>
              <w:bottom w:val="single" w:sz="4" w:space="0" w:color="auto"/>
              <w:right w:val="single" w:sz="4" w:space="0" w:color="auto"/>
            </w:tcBorders>
            <w:shd w:val="clear" w:color="auto" w:fill="auto"/>
            <w:vAlign w:val="center"/>
            <w:hideMark/>
          </w:tcPr>
          <w:p w14:paraId="47B4F6C7" w14:textId="77777777" w:rsidR="000E35E3" w:rsidRPr="00895557" w:rsidRDefault="000E35E3" w:rsidP="00385866">
            <w:pPr>
              <w:jc w:val="center"/>
              <w:rPr>
                <w:rFonts w:ascii="Times New Roman" w:hAnsi="Times New Roman"/>
                <w:b/>
                <w:bCs/>
                <w:color w:val="000000"/>
                <w:sz w:val="20"/>
                <w:szCs w:val="20"/>
              </w:rPr>
            </w:pPr>
            <w:r>
              <w:rPr>
                <w:rFonts w:ascii="Times New Roman" w:hAnsi="Times New Roman"/>
                <w:b/>
                <w:color w:val="000000"/>
                <w:sz w:val="20"/>
              </w:rPr>
              <w:t>Final Demand</w:t>
            </w:r>
          </w:p>
        </w:tc>
        <w:tc>
          <w:tcPr>
            <w:tcW w:w="560" w:type="pct"/>
            <w:tcBorders>
              <w:top w:val="double" w:sz="6" w:space="0" w:color="auto"/>
              <w:left w:val="nil"/>
              <w:bottom w:val="single" w:sz="4" w:space="0" w:color="auto"/>
              <w:right w:val="nil"/>
            </w:tcBorders>
            <w:shd w:val="clear" w:color="auto" w:fill="auto"/>
            <w:noWrap/>
            <w:vAlign w:val="center"/>
            <w:hideMark/>
          </w:tcPr>
          <w:p w14:paraId="046C0CD5" w14:textId="77777777" w:rsidR="000E35E3" w:rsidRPr="00895557" w:rsidRDefault="000E35E3" w:rsidP="00385866">
            <w:pPr>
              <w:jc w:val="center"/>
              <w:rPr>
                <w:rFonts w:ascii="Times New Roman" w:hAnsi="Times New Roman"/>
                <w:b/>
                <w:bCs/>
                <w:color w:val="000000"/>
                <w:sz w:val="20"/>
                <w:szCs w:val="20"/>
              </w:rPr>
            </w:pPr>
            <w:r>
              <w:rPr>
                <w:rFonts w:ascii="Times New Roman" w:hAnsi="Times New Roman"/>
                <w:b/>
                <w:color w:val="000000"/>
                <w:sz w:val="20"/>
              </w:rPr>
              <w:t>%</w:t>
            </w:r>
          </w:p>
        </w:tc>
      </w:tr>
      <w:tr w:rsidR="000E35E3" w:rsidRPr="00895557" w14:paraId="24E9C397" w14:textId="77777777" w:rsidTr="00385866">
        <w:trPr>
          <w:trHeight w:val="320"/>
          <w:jc w:val="center"/>
        </w:trPr>
        <w:tc>
          <w:tcPr>
            <w:tcW w:w="1164" w:type="pct"/>
            <w:tcBorders>
              <w:top w:val="nil"/>
              <w:left w:val="nil"/>
              <w:bottom w:val="single" w:sz="4" w:space="0" w:color="auto"/>
              <w:right w:val="single" w:sz="4" w:space="0" w:color="auto"/>
            </w:tcBorders>
            <w:shd w:val="clear" w:color="auto" w:fill="auto"/>
            <w:noWrap/>
            <w:vAlign w:val="center"/>
            <w:hideMark/>
          </w:tcPr>
          <w:p w14:paraId="4D687FA2" w14:textId="77777777" w:rsidR="000E35E3" w:rsidRPr="00895557" w:rsidRDefault="000E35E3" w:rsidP="00385866">
            <w:pPr>
              <w:rPr>
                <w:rFonts w:ascii="Times New Roman" w:hAnsi="Times New Roman"/>
                <w:color w:val="000000"/>
                <w:sz w:val="20"/>
                <w:szCs w:val="20"/>
              </w:rPr>
            </w:pPr>
            <w:r>
              <w:rPr>
                <w:rFonts w:ascii="Times New Roman" w:hAnsi="Times New Roman"/>
                <w:color w:val="000000"/>
                <w:sz w:val="20"/>
              </w:rPr>
              <w:t>North</w:t>
            </w:r>
          </w:p>
        </w:tc>
        <w:tc>
          <w:tcPr>
            <w:tcW w:w="718" w:type="pct"/>
            <w:tcBorders>
              <w:top w:val="nil"/>
              <w:left w:val="nil"/>
              <w:bottom w:val="single" w:sz="4" w:space="0" w:color="auto"/>
              <w:right w:val="single" w:sz="4" w:space="0" w:color="auto"/>
            </w:tcBorders>
            <w:shd w:val="clear" w:color="auto" w:fill="auto"/>
            <w:noWrap/>
            <w:vAlign w:val="center"/>
            <w:hideMark/>
          </w:tcPr>
          <w:p w14:paraId="3CF54590" w14:textId="77777777" w:rsidR="000E35E3" w:rsidRPr="00895557" w:rsidRDefault="000E35E3" w:rsidP="00385866">
            <w:pPr>
              <w:jc w:val="center"/>
              <w:rPr>
                <w:rFonts w:ascii="Times New Roman" w:hAnsi="Times New Roman"/>
                <w:color w:val="000000"/>
                <w:sz w:val="20"/>
                <w:szCs w:val="20"/>
              </w:rPr>
            </w:pPr>
            <w:r>
              <w:rPr>
                <w:rFonts w:ascii="Times New Roman" w:hAnsi="Times New Roman"/>
                <w:color w:val="000000"/>
                <w:sz w:val="20"/>
              </w:rPr>
              <w:t>28</w:t>
            </w:r>
          </w:p>
        </w:tc>
        <w:tc>
          <w:tcPr>
            <w:tcW w:w="560" w:type="pct"/>
            <w:tcBorders>
              <w:top w:val="nil"/>
              <w:left w:val="nil"/>
              <w:bottom w:val="single" w:sz="4" w:space="0" w:color="auto"/>
              <w:right w:val="single" w:sz="4" w:space="0" w:color="auto"/>
            </w:tcBorders>
            <w:shd w:val="clear" w:color="auto" w:fill="auto"/>
            <w:noWrap/>
            <w:vAlign w:val="center"/>
            <w:hideMark/>
          </w:tcPr>
          <w:p w14:paraId="287A8BBE" w14:textId="77777777" w:rsidR="000E35E3" w:rsidRPr="00895557" w:rsidRDefault="000E35E3" w:rsidP="00385866">
            <w:pPr>
              <w:jc w:val="center"/>
              <w:rPr>
                <w:rFonts w:ascii="Times New Roman" w:hAnsi="Times New Roman"/>
                <w:color w:val="000000"/>
                <w:sz w:val="20"/>
                <w:szCs w:val="20"/>
              </w:rPr>
            </w:pPr>
            <w:r>
              <w:rPr>
                <w:rFonts w:ascii="Times New Roman" w:hAnsi="Times New Roman"/>
                <w:color w:val="000000"/>
                <w:sz w:val="20"/>
              </w:rPr>
              <w:t>8.0%</w:t>
            </w:r>
          </w:p>
        </w:tc>
        <w:tc>
          <w:tcPr>
            <w:tcW w:w="718" w:type="pct"/>
            <w:tcBorders>
              <w:top w:val="nil"/>
              <w:left w:val="nil"/>
              <w:bottom w:val="single" w:sz="4" w:space="0" w:color="auto"/>
              <w:right w:val="single" w:sz="4" w:space="0" w:color="auto"/>
            </w:tcBorders>
            <w:shd w:val="clear" w:color="auto" w:fill="auto"/>
            <w:noWrap/>
            <w:vAlign w:val="center"/>
            <w:hideMark/>
          </w:tcPr>
          <w:p w14:paraId="004FB71E" w14:textId="77777777" w:rsidR="000E35E3" w:rsidRPr="00895557" w:rsidRDefault="000E35E3" w:rsidP="00385866">
            <w:pPr>
              <w:jc w:val="center"/>
              <w:rPr>
                <w:rFonts w:ascii="Times New Roman" w:hAnsi="Times New Roman"/>
                <w:color w:val="000000"/>
                <w:sz w:val="20"/>
                <w:szCs w:val="20"/>
              </w:rPr>
            </w:pPr>
            <w:r>
              <w:rPr>
                <w:rFonts w:ascii="Times New Roman" w:hAnsi="Times New Roman"/>
                <w:color w:val="000000"/>
                <w:sz w:val="20"/>
              </w:rPr>
              <w:t>17,016</w:t>
            </w:r>
          </w:p>
        </w:tc>
        <w:tc>
          <w:tcPr>
            <w:tcW w:w="560" w:type="pct"/>
            <w:tcBorders>
              <w:top w:val="nil"/>
              <w:left w:val="nil"/>
              <w:bottom w:val="single" w:sz="4" w:space="0" w:color="auto"/>
              <w:right w:val="single" w:sz="4" w:space="0" w:color="auto"/>
            </w:tcBorders>
            <w:shd w:val="clear" w:color="auto" w:fill="auto"/>
            <w:noWrap/>
            <w:vAlign w:val="center"/>
            <w:hideMark/>
          </w:tcPr>
          <w:p w14:paraId="0D30AB21" w14:textId="77777777" w:rsidR="000E35E3" w:rsidRPr="00895557" w:rsidRDefault="000E35E3" w:rsidP="00385866">
            <w:pPr>
              <w:jc w:val="center"/>
              <w:rPr>
                <w:rFonts w:ascii="Times New Roman" w:hAnsi="Times New Roman"/>
                <w:color w:val="000000"/>
                <w:sz w:val="20"/>
                <w:szCs w:val="20"/>
              </w:rPr>
            </w:pPr>
            <w:r>
              <w:rPr>
                <w:rFonts w:ascii="Times New Roman" w:hAnsi="Times New Roman"/>
                <w:color w:val="000000"/>
                <w:sz w:val="20"/>
              </w:rPr>
              <w:t>9.4%</w:t>
            </w:r>
          </w:p>
        </w:tc>
        <w:tc>
          <w:tcPr>
            <w:tcW w:w="718" w:type="pct"/>
            <w:tcBorders>
              <w:top w:val="nil"/>
              <w:left w:val="nil"/>
              <w:bottom w:val="single" w:sz="4" w:space="0" w:color="auto"/>
              <w:right w:val="single" w:sz="4" w:space="0" w:color="auto"/>
            </w:tcBorders>
            <w:shd w:val="clear" w:color="auto" w:fill="auto"/>
            <w:noWrap/>
            <w:vAlign w:val="center"/>
            <w:hideMark/>
          </w:tcPr>
          <w:p w14:paraId="1F21D16E" w14:textId="77777777" w:rsidR="000E35E3" w:rsidRPr="00895557" w:rsidRDefault="000E35E3" w:rsidP="00385866">
            <w:pPr>
              <w:jc w:val="center"/>
              <w:rPr>
                <w:rFonts w:ascii="Times New Roman" w:hAnsi="Times New Roman"/>
                <w:color w:val="000000"/>
                <w:sz w:val="20"/>
                <w:szCs w:val="20"/>
              </w:rPr>
            </w:pPr>
            <w:r>
              <w:rPr>
                <w:rFonts w:ascii="Times New Roman" w:hAnsi="Times New Roman"/>
                <w:color w:val="000000"/>
                <w:sz w:val="20"/>
              </w:rPr>
              <w:t>5,027</w:t>
            </w:r>
          </w:p>
        </w:tc>
        <w:tc>
          <w:tcPr>
            <w:tcW w:w="560" w:type="pct"/>
            <w:tcBorders>
              <w:top w:val="nil"/>
              <w:left w:val="nil"/>
              <w:bottom w:val="single" w:sz="4" w:space="0" w:color="auto"/>
              <w:right w:val="nil"/>
            </w:tcBorders>
            <w:shd w:val="clear" w:color="auto" w:fill="auto"/>
            <w:noWrap/>
            <w:vAlign w:val="center"/>
            <w:hideMark/>
          </w:tcPr>
          <w:p w14:paraId="6F6C32E7" w14:textId="77777777" w:rsidR="000E35E3" w:rsidRPr="00895557" w:rsidRDefault="000E35E3" w:rsidP="00385866">
            <w:pPr>
              <w:jc w:val="center"/>
              <w:rPr>
                <w:rFonts w:ascii="Times New Roman" w:hAnsi="Times New Roman"/>
                <w:color w:val="000000"/>
                <w:sz w:val="20"/>
                <w:szCs w:val="20"/>
              </w:rPr>
            </w:pPr>
            <w:r>
              <w:rPr>
                <w:rFonts w:ascii="Times New Roman" w:hAnsi="Times New Roman"/>
                <w:color w:val="000000"/>
                <w:sz w:val="20"/>
              </w:rPr>
              <w:t>9.0%</w:t>
            </w:r>
          </w:p>
        </w:tc>
      </w:tr>
      <w:tr w:rsidR="000E35E3" w:rsidRPr="00895557" w14:paraId="2BC818D3" w14:textId="77777777" w:rsidTr="00385866">
        <w:trPr>
          <w:trHeight w:val="320"/>
          <w:jc w:val="center"/>
        </w:trPr>
        <w:tc>
          <w:tcPr>
            <w:tcW w:w="1164" w:type="pct"/>
            <w:tcBorders>
              <w:top w:val="nil"/>
              <w:left w:val="nil"/>
              <w:bottom w:val="single" w:sz="4" w:space="0" w:color="auto"/>
              <w:right w:val="single" w:sz="4" w:space="0" w:color="auto"/>
            </w:tcBorders>
            <w:shd w:val="clear" w:color="auto" w:fill="auto"/>
            <w:noWrap/>
            <w:vAlign w:val="center"/>
            <w:hideMark/>
          </w:tcPr>
          <w:p w14:paraId="370136DF" w14:textId="77777777" w:rsidR="000E35E3" w:rsidRPr="00895557" w:rsidRDefault="000E35E3" w:rsidP="00385866">
            <w:pPr>
              <w:rPr>
                <w:rFonts w:ascii="Times New Roman" w:hAnsi="Times New Roman"/>
                <w:color w:val="000000"/>
                <w:sz w:val="20"/>
                <w:szCs w:val="20"/>
              </w:rPr>
            </w:pPr>
            <w:r>
              <w:rPr>
                <w:rFonts w:ascii="Times New Roman" w:hAnsi="Times New Roman"/>
                <w:color w:val="000000"/>
                <w:sz w:val="20"/>
              </w:rPr>
              <w:t>Northeast</w:t>
            </w:r>
          </w:p>
        </w:tc>
        <w:tc>
          <w:tcPr>
            <w:tcW w:w="718" w:type="pct"/>
            <w:tcBorders>
              <w:top w:val="nil"/>
              <w:left w:val="nil"/>
              <w:bottom w:val="single" w:sz="4" w:space="0" w:color="auto"/>
              <w:right w:val="single" w:sz="4" w:space="0" w:color="auto"/>
            </w:tcBorders>
            <w:shd w:val="clear" w:color="auto" w:fill="auto"/>
            <w:noWrap/>
            <w:vAlign w:val="center"/>
            <w:hideMark/>
          </w:tcPr>
          <w:p w14:paraId="44A2D9A2" w14:textId="77777777" w:rsidR="000E35E3" w:rsidRPr="00895557" w:rsidRDefault="000E35E3" w:rsidP="00385866">
            <w:pPr>
              <w:jc w:val="center"/>
              <w:rPr>
                <w:rFonts w:ascii="Times New Roman" w:hAnsi="Times New Roman"/>
                <w:color w:val="000000"/>
                <w:sz w:val="20"/>
                <w:szCs w:val="20"/>
              </w:rPr>
            </w:pPr>
            <w:r>
              <w:rPr>
                <w:rFonts w:ascii="Times New Roman" w:hAnsi="Times New Roman"/>
                <w:color w:val="000000"/>
                <w:sz w:val="20"/>
              </w:rPr>
              <w:t>59</w:t>
            </w:r>
          </w:p>
        </w:tc>
        <w:tc>
          <w:tcPr>
            <w:tcW w:w="560" w:type="pct"/>
            <w:tcBorders>
              <w:top w:val="nil"/>
              <w:left w:val="nil"/>
              <w:bottom w:val="single" w:sz="4" w:space="0" w:color="auto"/>
              <w:right w:val="single" w:sz="4" w:space="0" w:color="auto"/>
            </w:tcBorders>
            <w:shd w:val="clear" w:color="auto" w:fill="auto"/>
            <w:noWrap/>
            <w:vAlign w:val="center"/>
            <w:hideMark/>
          </w:tcPr>
          <w:p w14:paraId="368406C6" w14:textId="77777777" w:rsidR="000E35E3" w:rsidRPr="00895557" w:rsidRDefault="000E35E3" w:rsidP="00385866">
            <w:pPr>
              <w:jc w:val="center"/>
              <w:rPr>
                <w:rFonts w:ascii="Times New Roman" w:hAnsi="Times New Roman"/>
                <w:color w:val="000000"/>
                <w:sz w:val="20"/>
                <w:szCs w:val="20"/>
              </w:rPr>
            </w:pPr>
            <w:r>
              <w:rPr>
                <w:rFonts w:ascii="Times New Roman" w:hAnsi="Times New Roman"/>
                <w:color w:val="000000"/>
                <w:sz w:val="20"/>
              </w:rPr>
              <w:t>17.2%</w:t>
            </w:r>
          </w:p>
        </w:tc>
        <w:tc>
          <w:tcPr>
            <w:tcW w:w="718" w:type="pct"/>
            <w:tcBorders>
              <w:top w:val="nil"/>
              <w:left w:val="nil"/>
              <w:bottom w:val="single" w:sz="4" w:space="0" w:color="auto"/>
              <w:right w:val="single" w:sz="4" w:space="0" w:color="auto"/>
            </w:tcBorders>
            <w:shd w:val="clear" w:color="auto" w:fill="auto"/>
            <w:noWrap/>
            <w:vAlign w:val="center"/>
            <w:hideMark/>
          </w:tcPr>
          <w:p w14:paraId="0204BB7E" w14:textId="77777777" w:rsidR="000E35E3" w:rsidRPr="00895557" w:rsidRDefault="000E35E3" w:rsidP="00385866">
            <w:pPr>
              <w:jc w:val="center"/>
              <w:rPr>
                <w:rFonts w:ascii="Times New Roman" w:hAnsi="Times New Roman"/>
                <w:color w:val="000000"/>
                <w:sz w:val="20"/>
                <w:szCs w:val="20"/>
              </w:rPr>
            </w:pPr>
            <w:r>
              <w:rPr>
                <w:rFonts w:ascii="Times New Roman" w:hAnsi="Times New Roman"/>
                <w:color w:val="000000"/>
                <w:sz w:val="20"/>
              </w:rPr>
              <w:t>33,535</w:t>
            </w:r>
          </w:p>
        </w:tc>
        <w:tc>
          <w:tcPr>
            <w:tcW w:w="560" w:type="pct"/>
            <w:tcBorders>
              <w:top w:val="nil"/>
              <w:left w:val="nil"/>
              <w:bottom w:val="single" w:sz="4" w:space="0" w:color="auto"/>
              <w:right w:val="single" w:sz="4" w:space="0" w:color="auto"/>
            </w:tcBorders>
            <w:shd w:val="clear" w:color="auto" w:fill="auto"/>
            <w:noWrap/>
            <w:vAlign w:val="center"/>
            <w:hideMark/>
          </w:tcPr>
          <w:p w14:paraId="0A9970EC" w14:textId="77777777" w:rsidR="000E35E3" w:rsidRPr="00895557" w:rsidRDefault="000E35E3" w:rsidP="00385866">
            <w:pPr>
              <w:jc w:val="center"/>
              <w:rPr>
                <w:rFonts w:ascii="Times New Roman" w:hAnsi="Times New Roman"/>
                <w:color w:val="000000"/>
                <w:sz w:val="20"/>
                <w:szCs w:val="20"/>
              </w:rPr>
            </w:pPr>
            <w:r>
              <w:rPr>
                <w:rFonts w:ascii="Times New Roman" w:hAnsi="Times New Roman"/>
                <w:color w:val="000000"/>
                <w:sz w:val="20"/>
              </w:rPr>
              <w:t>18.5%</w:t>
            </w:r>
          </w:p>
        </w:tc>
        <w:tc>
          <w:tcPr>
            <w:tcW w:w="718" w:type="pct"/>
            <w:tcBorders>
              <w:top w:val="nil"/>
              <w:left w:val="nil"/>
              <w:bottom w:val="single" w:sz="4" w:space="0" w:color="auto"/>
              <w:right w:val="single" w:sz="4" w:space="0" w:color="auto"/>
            </w:tcBorders>
            <w:shd w:val="clear" w:color="auto" w:fill="auto"/>
            <w:noWrap/>
            <w:vAlign w:val="center"/>
            <w:hideMark/>
          </w:tcPr>
          <w:p w14:paraId="3B8DBE4A" w14:textId="77777777" w:rsidR="000E35E3" w:rsidRPr="00895557" w:rsidRDefault="000E35E3" w:rsidP="00385866">
            <w:pPr>
              <w:jc w:val="center"/>
              <w:rPr>
                <w:rFonts w:ascii="Times New Roman" w:hAnsi="Times New Roman"/>
                <w:color w:val="000000"/>
                <w:sz w:val="20"/>
                <w:szCs w:val="20"/>
              </w:rPr>
            </w:pPr>
            <w:r>
              <w:rPr>
                <w:rFonts w:ascii="Times New Roman" w:hAnsi="Times New Roman"/>
                <w:color w:val="000000"/>
                <w:sz w:val="20"/>
              </w:rPr>
              <w:t>11,362</w:t>
            </w:r>
          </w:p>
        </w:tc>
        <w:tc>
          <w:tcPr>
            <w:tcW w:w="560" w:type="pct"/>
            <w:tcBorders>
              <w:top w:val="nil"/>
              <w:left w:val="nil"/>
              <w:bottom w:val="single" w:sz="4" w:space="0" w:color="auto"/>
              <w:right w:val="nil"/>
            </w:tcBorders>
            <w:shd w:val="clear" w:color="auto" w:fill="auto"/>
            <w:noWrap/>
            <w:vAlign w:val="center"/>
            <w:hideMark/>
          </w:tcPr>
          <w:p w14:paraId="47CA0254" w14:textId="77777777" w:rsidR="000E35E3" w:rsidRPr="00895557" w:rsidRDefault="000E35E3" w:rsidP="00385866">
            <w:pPr>
              <w:jc w:val="center"/>
              <w:rPr>
                <w:rFonts w:ascii="Times New Roman" w:hAnsi="Times New Roman"/>
                <w:color w:val="000000"/>
                <w:sz w:val="20"/>
                <w:szCs w:val="20"/>
              </w:rPr>
            </w:pPr>
            <w:r>
              <w:rPr>
                <w:rFonts w:ascii="Times New Roman" w:hAnsi="Times New Roman"/>
                <w:color w:val="000000"/>
                <w:sz w:val="20"/>
              </w:rPr>
              <w:t>20.4%</w:t>
            </w:r>
          </w:p>
        </w:tc>
      </w:tr>
      <w:tr w:rsidR="000E35E3" w:rsidRPr="00895557" w14:paraId="546322F6" w14:textId="77777777" w:rsidTr="00385866">
        <w:trPr>
          <w:trHeight w:val="320"/>
          <w:jc w:val="center"/>
        </w:trPr>
        <w:tc>
          <w:tcPr>
            <w:tcW w:w="1164" w:type="pct"/>
            <w:tcBorders>
              <w:top w:val="nil"/>
              <w:left w:val="nil"/>
              <w:bottom w:val="single" w:sz="4" w:space="0" w:color="auto"/>
              <w:right w:val="single" w:sz="4" w:space="0" w:color="auto"/>
            </w:tcBorders>
            <w:shd w:val="clear" w:color="auto" w:fill="auto"/>
            <w:noWrap/>
            <w:vAlign w:val="center"/>
            <w:hideMark/>
          </w:tcPr>
          <w:p w14:paraId="366D14FE" w14:textId="77777777" w:rsidR="000E35E3" w:rsidRPr="00895557" w:rsidRDefault="000E35E3" w:rsidP="00385866">
            <w:pPr>
              <w:rPr>
                <w:rFonts w:ascii="Times New Roman" w:hAnsi="Times New Roman"/>
                <w:color w:val="000000"/>
                <w:sz w:val="20"/>
                <w:szCs w:val="20"/>
              </w:rPr>
            </w:pPr>
            <w:r>
              <w:rPr>
                <w:rFonts w:ascii="Times New Roman" w:hAnsi="Times New Roman"/>
                <w:color w:val="000000"/>
                <w:sz w:val="20"/>
              </w:rPr>
              <w:t>Southeast</w:t>
            </w:r>
          </w:p>
        </w:tc>
        <w:tc>
          <w:tcPr>
            <w:tcW w:w="718" w:type="pct"/>
            <w:tcBorders>
              <w:top w:val="nil"/>
              <w:left w:val="nil"/>
              <w:bottom w:val="single" w:sz="4" w:space="0" w:color="auto"/>
              <w:right w:val="single" w:sz="4" w:space="0" w:color="auto"/>
            </w:tcBorders>
            <w:shd w:val="clear" w:color="auto" w:fill="auto"/>
            <w:noWrap/>
            <w:vAlign w:val="center"/>
            <w:hideMark/>
          </w:tcPr>
          <w:p w14:paraId="11CB32E9" w14:textId="77777777" w:rsidR="000E35E3" w:rsidRPr="00895557" w:rsidRDefault="000E35E3" w:rsidP="00385866">
            <w:pPr>
              <w:jc w:val="center"/>
              <w:rPr>
                <w:rFonts w:ascii="Times New Roman" w:hAnsi="Times New Roman"/>
                <w:color w:val="000000"/>
                <w:sz w:val="20"/>
                <w:szCs w:val="20"/>
              </w:rPr>
            </w:pPr>
            <w:r>
              <w:rPr>
                <w:rFonts w:ascii="Times New Roman" w:hAnsi="Times New Roman"/>
                <w:color w:val="000000"/>
                <w:sz w:val="20"/>
              </w:rPr>
              <w:t>180</w:t>
            </w:r>
          </w:p>
        </w:tc>
        <w:tc>
          <w:tcPr>
            <w:tcW w:w="560" w:type="pct"/>
            <w:tcBorders>
              <w:top w:val="nil"/>
              <w:left w:val="nil"/>
              <w:bottom w:val="single" w:sz="4" w:space="0" w:color="auto"/>
              <w:right w:val="single" w:sz="4" w:space="0" w:color="auto"/>
            </w:tcBorders>
            <w:shd w:val="clear" w:color="auto" w:fill="auto"/>
            <w:noWrap/>
            <w:vAlign w:val="center"/>
            <w:hideMark/>
          </w:tcPr>
          <w:p w14:paraId="3B6CD7EE" w14:textId="77777777" w:rsidR="000E35E3" w:rsidRPr="00895557" w:rsidRDefault="000E35E3" w:rsidP="00385866">
            <w:pPr>
              <w:jc w:val="center"/>
              <w:rPr>
                <w:rFonts w:ascii="Times New Roman" w:hAnsi="Times New Roman"/>
                <w:color w:val="000000"/>
                <w:sz w:val="20"/>
                <w:szCs w:val="20"/>
              </w:rPr>
            </w:pPr>
            <w:r>
              <w:rPr>
                <w:rFonts w:ascii="Times New Roman" w:hAnsi="Times New Roman"/>
                <w:color w:val="000000"/>
                <w:sz w:val="20"/>
              </w:rPr>
              <w:t>52.4%</w:t>
            </w:r>
          </w:p>
        </w:tc>
        <w:tc>
          <w:tcPr>
            <w:tcW w:w="718" w:type="pct"/>
            <w:tcBorders>
              <w:top w:val="nil"/>
              <w:left w:val="nil"/>
              <w:bottom w:val="single" w:sz="4" w:space="0" w:color="auto"/>
              <w:right w:val="single" w:sz="4" w:space="0" w:color="auto"/>
            </w:tcBorders>
            <w:shd w:val="clear" w:color="auto" w:fill="auto"/>
            <w:noWrap/>
            <w:vAlign w:val="center"/>
            <w:hideMark/>
          </w:tcPr>
          <w:p w14:paraId="59A4A3A5" w14:textId="77777777" w:rsidR="000E35E3" w:rsidRPr="00895557" w:rsidRDefault="000E35E3" w:rsidP="00385866">
            <w:pPr>
              <w:jc w:val="center"/>
              <w:rPr>
                <w:rFonts w:ascii="Times New Roman" w:hAnsi="Times New Roman"/>
                <w:color w:val="000000"/>
                <w:sz w:val="20"/>
                <w:szCs w:val="20"/>
              </w:rPr>
            </w:pPr>
            <w:r>
              <w:rPr>
                <w:rFonts w:ascii="Times New Roman" w:hAnsi="Times New Roman"/>
                <w:color w:val="000000"/>
                <w:sz w:val="20"/>
              </w:rPr>
              <w:t>77,806</w:t>
            </w:r>
          </w:p>
        </w:tc>
        <w:tc>
          <w:tcPr>
            <w:tcW w:w="560" w:type="pct"/>
            <w:tcBorders>
              <w:top w:val="nil"/>
              <w:left w:val="nil"/>
              <w:bottom w:val="single" w:sz="4" w:space="0" w:color="auto"/>
              <w:right w:val="single" w:sz="4" w:space="0" w:color="auto"/>
            </w:tcBorders>
            <w:shd w:val="clear" w:color="auto" w:fill="auto"/>
            <w:noWrap/>
            <w:vAlign w:val="center"/>
            <w:hideMark/>
          </w:tcPr>
          <w:p w14:paraId="1C26D725" w14:textId="77777777" w:rsidR="000E35E3" w:rsidRPr="00895557" w:rsidRDefault="000E35E3" w:rsidP="00385866">
            <w:pPr>
              <w:jc w:val="center"/>
              <w:rPr>
                <w:rFonts w:ascii="Times New Roman" w:hAnsi="Times New Roman"/>
                <w:color w:val="000000"/>
                <w:sz w:val="20"/>
                <w:szCs w:val="20"/>
              </w:rPr>
            </w:pPr>
            <w:r>
              <w:rPr>
                <w:rFonts w:ascii="Times New Roman" w:hAnsi="Times New Roman"/>
                <w:color w:val="000000"/>
                <w:sz w:val="20"/>
              </w:rPr>
              <w:t>43.0%</w:t>
            </w:r>
          </w:p>
        </w:tc>
        <w:tc>
          <w:tcPr>
            <w:tcW w:w="718" w:type="pct"/>
            <w:tcBorders>
              <w:top w:val="nil"/>
              <w:left w:val="nil"/>
              <w:bottom w:val="single" w:sz="4" w:space="0" w:color="auto"/>
              <w:right w:val="single" w:sz="4" w:space="0" w:color="auto"/>
            </w:tcBorders>
            <w:shd w:val="clear" w:color="auto" w:fill="auto"/>
            <w:noWrap/>
            <w:vAlign w:val="center"/>
            <w:hideMark/>
          </w:tcPr>
          <w:p w14:paraId="191876FE" w14:textId="77777777" w:rsidR="000E35E3" w:rsidRPr="00895557" w:rsidRDefault="000E35E3" w:rsidP="00385866">
            <w:pPr>
              <w:jc w:val="center"/>
              <w:rPr>
                <w:rFonts w:ascii="Times New Roman" w:hAnsi="Times New Roman"/>
                <w:color w:val="000000"/>
                <w:sz w:val="20"/>
                <w:szCs w:val="20"/>
              </w:rPr>
            </w:pPr>
            <w:r>
              <w:rPr>
                <w:rFonts w:ascii="Times New Roman" w:hAnsi="Times New Roman"/>
                <w:color w:val="000000"/>
                <w:sz w:val="20"/>
              </w:rPr>
              <w:t>24,205</w:t>
            </w:r>
          </w:p>
        </w:tc>
        <w:tc>
          <w:tcPr>
            <w:tcW w:w="560" w:type="pct"/>
            <w:tcBorders>
              <w:top w:val="nil"/>
              <w:left w:val="nil"/>
              <w:bottom w:val="single" w:sz="4" w:space="0" w:color="auto"/>
              <w:right w:val="nil"/>
            </w:tcBorders>
            <w:shd w:val="clear" w:color="auto" w:fill="auto"/>
            <w:noWrap/>
            <w:vAlign w:val="center"/>
            <w:hideMark/>
          </w:tcPr>
          <w:p w14:paraId="5A99ABDD" w14:textId="77777777" w:rsidR="000E35E3" w:rsidRPr="00895557" w:rsidRDefault="000E35E3" w:rsidP="00385866">
            <w:pPr>
              <w:jc w:val="center"/>
              <w:rPr>
                <w:rFonts w:ascii="Times New Roman" w:hAnsi="Times New Roman"/>
                <w:color w:val="000000"/>
                <w:sz w:val="20"/>
                <w:szCs w:val="20"/>
              </w:rPr>
            </w:pPr>
            <w:r>
              <w:rPr>
                <w:rFonts w:ascii="Times New Roman" w:hAnsi="Times New Roman"/>
                <w:color w:val="000000"/>
                <w:sz w:val="20"/>
              </w:rPr>
              <w:t>43.4%</w:t>
            </w:r>
          </w:p>
        </w:tc>
      </w:tr>
      <w:tr w:rsidR="000E35E3" w:rsidRPr="00895557" w14:paraId="4C9A70CF" w14:textId="77777777" w:rsidTr="00385866">
        <w:trPr>
          <w:trHeight w:val="320"/>
          <w:jc w:val="center"/>
        </w:trPr>
        <w:tc>
          <w:tcPr>
            <w:tcW w:w="1164" w:type="pct"/>
            <w:tcBorders>
              <w:top w:val="nil"/>
              <w:left w:val="nil"/>
              <w:bottom w:val="single" w:sz="4" w:space="0" w:color="auto"/>
              <w:right w:val="single" w:sz="4" w:space="0" w:color="auto"/>
            </w:tcBorders>
            <w:shd w:val="clear" w:color="auto" w:fill="auto"/>
            <w:noWrap/>
            <w:vAlign w:val="center"/>
            <w:hideMark/>
          </w:tcPr>
          <w:p w14:paraId="7A4123DC" w14:textId="77777777" w:rsidR="000E35E3" w:rsidRPr="00895557" w:rsidRDefault="000E35E3" w:rsidP="00385866">
            <w:pPr>
              <w:rPr>
                <w:rFonts w:ascii="Times New Roman" w:hAnsi="Times New Roman"/>
                <w:color w:val="000000"/>
                <w:sz w:val="20"/>
                <w:szCs w:val="20"/>
              </w:rPr>
            </w:pPr>
            <w:r>
              <w:rPr>
                <w:rFonts w:ascii="Times New Roman" w:hAnsi="Times New Roman"/>
                <w:color w:val="000000"/>
                <w:sz w:val="20"/>
              </w:rPr>
              <w:t>South</w:t>
            </w:r>
          </w:p>
        </w:tc>
        <w:tc>
          <w:tcPr>
            <w:tcW w:w="718" w:type="pct"/>
            <w:tcBorders>
              <w:top w:val="nil"/>
              <w:left w:val="nil"/>
              <w:bottom w:val="single" w:sz="4" w:space="0" w:color="auto"/>
              <w:right w:val="single" w:sz="4" w:space="0" w:color="auto"/>
            </w:tcBorders>
            <w:shd w:val="clear" w:color="auto" w:fill="auto"/>
            <w:noWrap/>
            <w:vAlign w:val="center"/>
            <w:hideMark/>
          </w:tcPr>
          <w:p w14:paraId="3009AFBA" w14:textId="77777777" w:rsidR="000E35E3" w:rsidRPr="00895557" w:rsidRDefault="000E35E3" w:rsidP="00385866">
            <w:pPr>
              <w:jc w:val="center"/>
              <w:rPr>
                <w:rFonts w:ascii="Times New Roman" w:hAnsi="Times New Roman"/>
                <w:color w:val="000000"/>
                <w:sz w:val="20"/>
                <w:szCs w:val="20"/>
              </w:rPr>
            </w:pPr>
            <w:r>
              <w:rPr>
                <w:rFonts w:ascii="Times New Roman" w:hAnsi="Times New Roman"/>
                <w:color w:val="000000"/>
                <w:sz w:val="20"/>
              </w:rPr>
              <w:t>52</w:t>
            </w:r>
          </w:p>
        </w:tc>
        <w:tc>
          <w:tcPr>
            <w:tcW w:w="560" w:type="pct"/>
            <w:tcBorders>
              <w:top w:val="nil"/>
              <w:left w:val="nil"/>
              <w:bottom w:val="single" w:sz="4" w:space="0" w:color="auto"/>
              <w:right w:val="single" w:sz="4" w:space="0" w:color="auto"/>
            </w:tcBorders>
            <w:shd w:val="clear" w:color="auto" w:fill="auto"/>
            <w:noWrap/>
            <w:vAlign w:val="center"/>
            <w:hideMark/>
          </w:tcPr>
          <w:p w14:paraId="7EA72F55" w14:textId="77777777" w:rsidR="000E35E3" w:rsidRPr="00895557" w:rsidRDefault="000E35E3" w:rsidP="00385866">
            <w:pPr>
              <w:jc w:val="center"/>
              <w:rPr>
                <w:rFonts w:ascii="Times New Roman" w:hAnsi="Times New Roman"/>
                <w:color w:val="000000"/>
                <w:sz w:val="20"/>
                <w:szCs w:val="20"/>
              </w:rPr>
            </w:pPr>
            <w:r>
              <w:rPr>
                <w:rFonts w:ascii="Times New Roman" w:hAnsi="Times New Roman"/>
                <w:color w:val="000000"/>
                <w:sz w:val="20"/>
              </w:rPr>
              <w:t>15.3%</w:t>
            </w:r>
          </w:p>
        </w:tc>
        <w:tc>
          <w:tcPr>
            <w:tcW w:w="718" w:type="pct"/>
            <w:tcBorders>
              <w:top w:val="nil"/>
              <w:left w:val="nil"/>
              <w:bottom w:val="single" w:sz="4" w:space="0" w:color="auto"/>
              <w:right w:val="single" w:sz="4" w:space="0" w:color="auto"/>
            </w:tcBorders>
            <w:shd w:val="clear" w:color="auto" w:fill="auto"/>
            <w:noWrap/>
            <w:vAlign w:val="center"/>
            <w:hideMark/>
          </w:tcPr>
          <w:p w14:paraId="6ECFDBFE" w14:textId="77777777" w:rsidR="000E35E3" w:rsidRPr="00895557" w:rsidRDefault="000E35E3" w:rsidP="00385866">
            <w:pPr>
              <w:jc w:val="center"/>
              <w:rPr>
                <w:rFonts w:ascii="Times New Roman" w:hAnsi="Times New Roman"/>
                <w:color w:val="000000"/>
                <w:sz w:val="20"/>
                <w:szCs w:val="20"/>
              </w:rPr>
            </w:pPr>
            <w:r>
              <w:rPr>
                <w:rFonts w:ascii="Times New Roman" w:hAnsi="Times New Roman"/>
                <w:color w:val="000000"/>
                <w:sz w:val="20"/>
              </w:rPr>
              <w:t>35,709</w:t>
            </w:r>
          </w:p>
        </w:tc>
        <w:tc>
          <w:tcPr>
            <w:tcW w:w="560" w:type="pct"/>
            <w:tcBorders>
              <w:top w:val="nil"/>
              <w:left w:val="nil"/>
              <w:bottom w:val="single" w:sz="4" w:space="0" w:color="auto"/>
              <w:right w:val="single" w:sz="4" w:space="0" w:color="auto"/>
            </w:tcBorders>
            <w:shd w:val="clear" w:color="auto" w:fill="auto"/>
            <w:noWrap/>
            <w:vAlign w:val="center"/>
            <w:hideMark/>
          </w:tcPr>
          <w:p w14:paraId="373792E3" w14:textId="77777777" w:rsidR="000E35E3" w:rsidRPr="00895557" w:rsidRDefault="000E35E3" w:rsidP="00385866">
            <w:pPr>
              <w:jc w:val="center"/>
              <w:rPr>
                <w:rFonts w:ascii="Times New Roman" w:hAnsi="Times New Roman"/>
                <w:color w:val="000000"/>
                <w:sz w:val="20"/>
                <w:szCs w:val="20"/>
              </w:rPr>
            </w:pPr>
            <w:r>
              <w:rPr>
                <w:rFonts w:ascii="Times New Roman" w:hAnsi="Times New Roman"/>
                <w:color w:val="000000"/>
                <w:sz w:val="20"/>
              </w:rPr>
              <w:t>19.7%</w:t>
            </w:r>
          </w:p>
        </w:tc>
        <w:tc>
          <w:tcPr>
            <w:tcW w:w="718" w:type="pct"/>
            <w:tcBorders>
              <w:top w:val="nil"/>
              <w:left w:val="nil"/>
              <w:bottom w:val="single" w:sz="4" w:space="0" w:color="auto"/>
              <w:right w:val="single" w:sz="4" w:space="0" w:color="auto"/>
            </w:tcBorders>
            <w:shd w:val="clear" w:color="auto" w:fill="auto"/>
            <w:noWrap/>
            <w:vAlign w:val="center"/>
            <w:hideMark/>
          </w:tcPr>
          <w:p w14:paraId="6A0AF2CB" w14:textId="77777777" w:rsidR="000E35E3" w:rsidRPr="00895557" w:rsidRDefault="000E35E3" w:rsidP="00385866">
            <w:pPr>
              <w:jc w:val="center"/>
              <w:rPr>
                <w:rFonts w:ascii="Times New Roman" w:hAnsi="Times New Roman"/>
                <w:color w:val="000000"/>
                <w:sz w:val="20"/>
                <w:szCs w:val="20"/>
              </w:rPr>
            </w:pPr>
            <w:r>
              <w:rPr>
                <w:rFonts w:ascii="Times New Roman" w:hAnsi="Times New Roman"/>
                <w:color w:val="000000"/>
                <w:sz w:val="20"/>
              </w:rPr>
              <w:t>10,328</w:t>
            </w:r>
          </w:p>
        </w:tc>
        <w:tc>
          <w:tcPr>
            <w:tcW w:w="560" w:type="pct"/>
            <w:tcBorders>
              <w:top w:val="nil"/>
              <w:left w:val="nil"/>
              <w:bottom w:val="single" w:sz="4" w:space="0" w:color="auto"/>
              <w:right w:val="nil"/>
            </w:tcBorders>
            <w:shd w:val="clear" w:color="auto" w:fill="auto"/>
            <w:noWrap/>
            <w:vAlign w:val="center"/>
            <w:hideMark/>
          </w:tcPr>
          <w:p w14:paraId="411137E7" w14:textId="77777777" w:rsidR="000E35E3" w:rsidRPr="00895557" w:rsidRDefault="000E35E3" w:rsidP="00385866">
            <w:pPr>
              <w:jc w:val="center"/>
              <w:rPr>
                <w:rFonts w:ascii="Times New Roman" w:hAnsi="Times New Roman"/>
                <w:color w:val="000000"/>
                <w:sz w:val="20"/>
                <w:szCs w:val="20"/>
              </w:rPr>
            </w:pPr>
            <w:r>
              <w:rPr>
                <w:rFonts w:ascii="Times New Roman" w:hAnsi="Times New Roman"/>
                <w:color w:val="000000"/>
                <w:sz w:val="20"/>
              </w:rPr>
              <w:t>18.5%</w:t>
            </w:r>
          </w:p>
        </w:tc>
      </w:tr>
      <w:tr w:rsidR="000E35E3" w:rsidRPr="00895557" w14:paraId="560349B0" w14:textId="77777777" w:rsidTr="00385866">
        <w:trPr>
          <w:trHeight w:val="320"/>
          <w:jc w:val="center"/>
        </w:trPr>
        <w:tc>
          <w:tcPr>
            <w:tcW w:w="1164" w:type="pct"/>
            <w:tcBorders>
              <w:top w:val="nil"/>
              <w:left w:val="nil"/>
              <w:bottom w:val="single" w:sz="4" w:space="0" w:color="auto"/>
              <w:right w:val="single" w:sz="4" w:space="0" w:color="auto"/>
            </w:tcBorders>
            <w:shd w:val="clear" w:color="auto" w:fill="auto"/>
            <w:noWrap/>
            <w:vAlign w:val="center"/>
            <w:hideMark/>
          </w:tcPr>
          <w:p w14:paraId="5BE69182" w14:textId="6303D8B4" w:rsidR="000E35E3" w:rsidRPr="00895557" w:rsidRDefault="00FD0883" w:rsidP="00385866">
            <w:pPr>
              <w:rPr>
                <w:rFonts w:ascii="Times New Roman" w:hAnsi="Times New Roman"/>
                <w:color w:val="000000"/>
                <w:sz w:val="20"/>
                <w:szCs w:val="20"/>
              </w:rPr>
            </w:pPr>
            <w:r>
              <w:rPr>
                <w:rFonts w:ascii="Times New Roman" w:hAnsi="Times New Roman"/>
                <w:color w:val="000000"/>
                <w:sz w:val="20"/>
              </w:rPr>
              <w:t>Midwest</w:t>
            </w:r>
          </w:p>
        </w:tc>
        <w:tc>
          <w:tcPr>
            <w:tcW w:w="718" w:type="pct"/>
            <w:tcBorders>
              <w:top w:val="nil"/>
              <w:left w:val="nil"/>
              <w:bottom w:val="single" w:sz="4" w:space="0" w:color="auto"/>
              <w:right w:val="single" w:sz="4" w:space="0" w:color="auto"/>
            </w:tcBorders>
            <w:shd w:val="clear" w:color="auto" w:fill="auto"/>
            <w:noWrap/>
            <w:vAlign w:val="center"/>
            <w:hideMark/>
          </w:tcPr>
          <w:p w14:paraId="3769200A" w14:textId="77777777" w:rsidR="000E35E3" w:rsidRPr="00895557" w:rsidRDefault="000E35E3" w:rsidP="00385866">
            <w:pPr>
              <w:jc w:val="center"/>
              <w:rPr>
                <w:rFonts w:ascii="Times New Roman" w:hAnsi="Times New Roman"/>
                <w:color w:val="000000"/>
                <w:sz w:val="20"/>
                <w:szCs w:val="20"/>
              </w:rPr>
            </w:pPr>
            <w:r>
              <w:rPr>
                <w:rFonts w:ascii="Times New Roman" w:hAnsi="Times New Roman"/>
                <w:color w:val="000000"/>
                <w:sz w:val="20"/>
              </w:rPr>
              <w:t>24</w:t>
            </w:r>
          </w:p>
        </w:tc>
        <w:tc>
          <w:tcPr>
            <w:tcW w:w="560" w:type="pct"/>
            <w:tcBorders>
              <w:top w:val="nil"/>
              <w:left w:val="nil"/>
              <w:bottom w:val="single" w:sz="4" w:space="0" w:color="auto"/>
              <w:right w:val="single" w:sz="4" w:space="0" w:color="auto"/>
            </w:tcBorders>
            <w:shd w:val="clear" w:color="auto" w:fill="auto"/>
            <w:noWrap/>
            <w:vAlign w:val="center"/>
            <w:hideMark/>
          </w:tcPr>
          <w:p w14:paraId="56FEE41E" w14:textId="77777777" w:rsidR="000E35E3" w:rsidRPr="00895557" w:rsidRDefault="000E35E3" w:rsidP="00385866">
            <w:pPr>
              <w:jc w:val="center"/>
              <w:rPr>
                <w:rFonts w:ascii="Times New Roman" w:hAnsi="Times New Roman"/>
                <w:color w:val="000000"/>
                <w:sz w:val="20"/>
                <w:szCs w:val="20"/>
              </w:rPr>
            </w:pPr>
            <w:r>
              <w:rPr>
                <w:rFonts w:ascii="Times New Roman" w:hAnsi="Times New Roman"/>
                <w:color w:val="000000"/>
                <w:sz w:val="20"/>
              </w:rPr>
              <w:t>7.1%</w:t>
            </w:r>
          </w:p>
        </w:tc>
        <w:tc>
          <w:tcPr>
            <w:tcW w:w="718" w:type="pct"/>
            <w:tcBorders>
              <w:top w:val="nil"/>
              <w:left w:val="nil"/>
              <w:bottom w:val="single" w:sz="4" w:space="0" w:color="auto"/>
              <w:right w:val="single" w:sz="4" w:space="0" w:color="auto"/>
            </w:tcBorders>
            <w:shd w:val="clear" w:color="auto" w:fill="auto"/>
            <w:noWrap/>
            <w:vAlign w:val="center"/>
            <w:hideMark/>
          </w:tcPr>
          <w:p w14:paraId="0B822D7E" w14:textId="77777777" w:rsidR="000E35E3" w:rsidRPr="00895557" w:rsidRDefault="000E35E3" w:rsidP="00385866">
            <w:pPr>
              <w:jc w:val="center"/>
              <w:rPr>
                <w:rFonts w:ascii="Times New Roman" w:hAnsi="Times New Roman"/>
                <w:color w:val="000000"/>
                <w:sz w:val="20"/>
                <w:szCs w:val="20"/>
              </w:rPr>
            </w:pPr>
            <w:r>
              <w:rPr>
                <w:rFonts w:ascii="Times New Roman" w:hAnsi="Times New Roman"/>
                <w:color w:val="000000"/>
                <w:sz w:val="20"/>
              </w:rPr>
              <w:t>16,820</w:t>
            </w:r>
          </w:p>
        </w:tc>
        <w:tc>
          <w:tcPr>
            <w:tcW w:w="560" w:type="pct"/>
            <w:tcBorders>
              <w:top w:val="nil"/>
              <w:left w:val="nil"/>
              <w:bottom w:val="single" w:sz="4" w:space="0" w:color="auto"/>
              <w:right w:val="single" w:sz="4" w:space="0" w:color="auto"/>
            </w:tcBorders>
            <w:shd w:val="clear" w:color="auto" w:fill="auto"/>
            <w:noWrap/>
            <w:vAlign w:val="center"/>
            <w:hideMark/>
          </w:tcPr>
          <w:p w14:paraId="1C17DF0B" w14:textId="77777777" w:rsidR="000E35E3" w:rsidRPr="00895557" w:rsidRDefault="000E35E3" w:rsidP="00385866">
            <w:pPr>
              <w:jc w:val="center"/>
              <w:rPr>
                <w:rFonts w:ascii="Times New Roman" w:hAnsi="Times New Roman"/>
                <w:color w:val="000000"/>
                <w:sz w:val="20"/>
                <w:szCs w:val="20"/>
              </w:rPr>
            </w:pPr>
            <w:r>
              <w:rPr>
                <w:rFonts w:ascii="Times New Roman" w:hAnsi="Times New Roman"/>
                <w:color w:val="000000"/>
                <w:sz w:val="20"/>
              </w:rPr>
              <w:t>9.3%</w:t>
            </w:r>
          </w:p>
        </w:tc>
        <w:tc>
          <w:tcPr>
            <w:tcW w:w="718" w:type="pct"/>
            <w:tcBorders>
              <w:top w:val="nil"/>
              <w:left w:val="nil"/>
              <w:bottom w:val="single" w:sz="4" w:space="0" w:color="auto"/>
              <w:right w:val="single" w:sz="4" w:space="0" w:color="auto"/>
            </w:tcBorders>
            <w:shd w:val="clear" w:color="auto" w:fill="auto"/>
            <w:noWrap/>
            <w:vAlign w:val="center"/>
            <w:hideMark/>
          </w:tcPr>
          <w:p w14:paraId="5AD4592C" w14:textId="77777777" w:rsidR="000E35E3" w:rsidRPr="00895557" w:rsidRDefault="000E35E3" w:rsidP="00385866">
            <w:pPr>
              <w:jc w:val="center"/>
              <w:rPr>
                <w:rFonts w:ascii="Times New Roman" w:hAnsi="Times New Roman"/>
                <w:color w:val="000000"/>
                <w:sz w:val="20"/>
                <w:szCs w:val="20"/>
              </w:rPr>
            </w:pPr>
            <w:r>
              <w:rPr>
                <w:rFonts w:ascii="Times New Roman" w:hAnsi="Times New Roman"/>
                <w:color w:val="000000"/>
                <w:sz w:val="20"/>
              </w:rPr>
              <w:t>4,869</w:t>
            </w:r>
          </w:p>
        </w:tc>
        <w:tc>
          <w:tcPr>
            <w:tcW w:w="560" w:type="pct"/>
            <w:tcBorders>
              <w:top w:val="nil"/>
              <w:left w:val="nil"/>
              <w:bottom w:val="single" w:sz="4" w:space="0" w:color="auto"/>
              <w:right w:val="nil"/>
            </w:tcBorders>
            <w:shd w:val="clear" w:color="auto" w:fill="auto"/>
            <w:noWrap/>
            <w:vAlign w:val="center"/>
            <w:hideMark/>
          </w:tcPr>
          <w:p w14:paraId="1F6DE552" w14:textId="77777777" w:rsidR="000E35E3" w:rsidRPr="00895557" w:rsidRDefault="000E35E3" w:rsidP="00385866">
            <w:pPr>
              <w:jc w:val="center"/>
              <w:rPr>
                <w:rFonts w:ascii="Times New Roman" w:hAnsi="Times New Roman"/>
                <w:color w:val="000000"/>
                <w:sz w:val="20"/>
                <w:szCs w:val="20"/>
              </w:rPr>
            </w:pPr>
            <w:r>
              <w:rPr>
                <w:rFonts w:ascii="Times New Roman" w:hAnsi="Times New Roman"/>
                <w:color w:val="000000"/>
                <w:sz w:val="20"/>
              </w:rPr>
              <w:t>8.7%</w:t>
            </w:r>
          </w:p>
        </w:tc>
      </w:tr>
      <w:tr w:rsidR="000E35E3" w:rsidRPr="00895557" w14:paraId="5B88C732" w14:textId="77777777" w:rsidTr="00385866">
        <w:trPr>
          <w:trHeight w:val="340"/>
          <w:jc w:val="center"/>
        </w:trPr>
        <w:tc>
          <w:tcPr>
            <w:tcW w:w="1164" w:type="pct"/>
            <w:tcBorders>
              <w:top w:val="nil"/>
              <w:left w:val="nil"/>
              <w:bottom w:val="double" w:sz="6" w:space="0" w:color="auto"/>
              <w:right w:val="single" w:sz="4" w:space="0" w:color="auto"/>
            </w:tcBorders>
            <w:shd w:val="clear" w:color="auto" w:fill="auto"/>
            <w:noWrap/>
            <w:vAlign w:val="center"/>
            <w:hideMark/>
          </w:tcPr>
          <w:p w14:paraId="572EC90A" w14:textId="77777777" w:rsidR="000E35E3" w:rsidRPr="00895557" w:rsidRDefault="000E35E3" w:rsidP="00385866">
            <w:pPr>
              <w:rPr>
                <w:rFonts w:ascii="Times New Roman" w:hAnsi="Times New Roman"/>
                <w:b/>
                <w:bCs/>
                <w:color w:val="000000"/>
                <w:sz w:val="20"/>
                <w:szCs w:val="20"/>
              </w:rPr>
            </w:pPr>
            <w:r>
              <w:rPr>
                <w:rFonts w:ascii="Times New Roman" w:hAnsi="Times New Roman"/>
                <w:b/>
                <w:color w:val="000000"/>
                <w:sz w:val="20"/>
              </w:rPr>
              <w:t>Total</w:t>
            </w:r>
          </w:p>
        </w:tc>
        <w:tc>
          <w:tcPr>
            <w:tcW w:w="718" w:type="pct"/>
            <w:tcBorders>
              <w:top w:val="nil"/>
              <w:left w:val="nil"/>
              <w:bottom w:val="double" w:sz="6" w:space="0" w:color="auto"/>
              <w:right w:val="single" w:sz="4" w:space="0" w:color="auto"/>
            </w:tcBorders>
            <w:shd w:val="clear" w:color="auto" w:fill="auto"/>
            <w:noWrap/>
            <w:vAlign w:val="center"/>
            <w:hideMark/>
          </w:tcPr>
          <w:p w14:paraId="38E3783F" w14:textId="77777777" w:rsidR="000E35E3" w:rsidRPr="00895557" w:rsidRDefault="000E35E3" w:rsidP="00385866">
            <w:pPr>
              <w:jc w:val="center"/>
              <w:rPr>
                <w:rFonts w:ascii="Times New Roman" w:hAnsi="Times New Roman"/>
                <w:b/>
                <w:bCs/>
                <w:color w:val="000000"/>
                <w:sz w:val="20"/>
                <w:szCs w:val="20"/>
              </w:rPr>
            </w:pPr>
            <w:r>
              <w:rPr>
                <w:rFonts w:ascii="Times New Roman" w:hAnsi="Times New Roman"/>
                <w:b/>
                <w:color w:val="000000"/>
                <w:sz w:val="20"/>
              </w:rPr>
              <w:t>343</w:t>
            </w:r>
          </w:p>
        </w:tc>
        <w:tc>
          <w:tcPr>
            <w:tcW w:w="560" w:type="pct"/>
            <w:tcBorders>
              <w:top w:val="nil"/>
              <w:left w:val="nil"/>
              <w:bottom w:val="double" w:sz="6" w:space="0" w:color="auto"/>
              <w:right w:val="single" w:sz="4" w:space="0" w:color="auto"/>
            </w:tcBorders>
            <w:shd w:val="clear" w:color="auto" w:fill="auto"/>
            <w:noWrap/>
            <w:vAlign w:val="center"/>
            <w:hideMark/>
          </w:tcPr>
          <w:p w14:paraId="0988ED25" w14:textId="77777777" w:rsidR="000E35E3" w:rsidRPr="00895557" w:rsidRDefault="000E35E3" w:rsidP="00385866">
            <w:pPr>
              <w:jc w:val="center"/>
              <w:rPr>
                <w:rFonts w:ascii="Times New Roman" w:hAnsi="Times New Roman"/>
                <w:b/>
                <w:bCs/>
                <w:color w:val="000000"/>
                <w:sz w:val="20"/>
                <w:szCs w:val="20"/>
              </w:rPr>
            </w:pPr>
            <w:r>
              <w:rPr>
                <w:rFonts w:ascii="Times New Roman" w:hAnsi="Times New Roman"/>
                <w:b/>
                <w:color w:val="000000"/>
                <w:sz w:val="20"/>
              </w:rPr>
              <w:t>100%</w:t>
            </w:r>
          </w:p>
        </w:tc>
        <w:tc>
          <w:tcPr>
            <w:tcW w:w="718" w:type="pct"/>
            <w:tcBorders>
              <w:top w:val="nil"/>
              <w:left w:val="nil"/>
              <w:bottom w:val="double" w:sz="6" w:space="0" w:color="auto"/>
              <w:right w:val="single" w:sz="4" w:space="0" w:color="auto"/>
            </w:tcBorders>
            <w:shd w:val="clear" w:color="auto" w:fill="auto"/>
            <w:noWrap/>
            <w:vAlign w:val="center"/>
            <w:hideMark/>
          </w:tcPr>
          <w:p w14:paraId="64FE5944" w14:textId="77777777" w:rsidR="000E35E3" w:rsidRPr="00895557" w:rsidRDefault="000E35E3" w:rsidP="00385866">
            <w:pPr>
              <w:jc w:val="center"/>
              <w:rPr>
                <w:rFonts w:ascii="Times New Roman" w:hAnsi="Times New Roman"/>
                <w:b/>
                <w:bCs/>
                <w:color w:val="000000"/>
                <w:sz w:val="20"/>
                <w:szCs w:val="20"/>
              </w:rPr>
            </w:pPr>
            <w:r>
              <w:rPr>
                <w:rFonts w:ascii="Times New Roman" w:hAnsi="Times New Roman"/>
                <w:b/>
                <w:color w:val="000000"/>
                <w:sz w:val="20"/>
              </w:rPr>
              <w:t>180,886</w:t>
            </w:r>
          </w:p>
        </w:tc>
        <w:tc>
          <w:tcPr>
            <w:tcW w:w="560" w:type="pct"/>
            <w:tcBorders>
              <w:top w:val="nil"/>
              <w:left w:val="nil"/>
              <w:bottom w:val="double" w:sz="6" w:space="0" w:color="auto"/>
              <w:right w:val="single" w:sz="4" w:space="0" w:color="auto"/>
            </w:tcBorders>
            <w:shd w:val="clear" w:color="auto" w:fill="auto"/>
            <w:noWrap/>
            <w:vAlign w:val="center"/>
            <w:hideMark/>
          </w:tcPr>
          <w:p w14:paraId="0CB361B8" w14:textId="77777777" w:rsidR="000E35E3" w:rsidRPr="00895557" w:rsidRDefault="000E35E3" w:rsidP="00385866">
            <w:pPr>
              <w:jc w:val="center"/>
              <w:rPr>
                <w:rFonts w:ascii="Times New Roman" w:hAnsi="Times New Roman"/>
                <w:b/>
                <w:bCs/>
                <w:color w:val="000000"/>
                <w:sz w:val="20"/>
                <w:szCs w:val="20"/>
              </w:rPr>
            </w:pPr>
            <w:r>
              <w:rPr>
                <w:rFonts w:ascii="Times New Roman" w:hAnsi="Times New Roman"/>
                <w:b/>
                <w:color w:val="000000"/>
                <w:sz w:val="20"/>
              </w:rPr>
              <w:t>100%</w:t>
            </w:r>
          </w:p>
        </w:tc>
        <w:tc>
          <w:tcPr>
            <w:tcW w:w="718" w:type="pct"/>
            <w:tcBorders>
              <w:top w:val="nil"/>
              <w:left w:val="nil"/>
              <w:bottom w:val="double" w:sz="6" w:space="0" w:color="auto"/>
              <w:right w:val="single" w:sz="4" w:space="0" w:color="auto"/>
            </w:tcBorders>
            <w:shd w:val="clear" w:color="auto" w:fill="auto"/>
            <w:noWrap/>
            <w:vAlign w:val="center"/>
            <w:hideMark/>
          </w:tcPr>
          <w:p w14:paraId="58B8856B" w14:textId="77777777" w:rsidR="000E35E3" w:rsidRPr="00895557" w:rsidRDefault="000E35E3" w:rsidP="00385866">
            <w:pPr>
              <w:jc w:val="center"/>
              <w:rPr>
                <w:rFonts w:ascii="Times New Roman" w:hAnsi="Times New Roman"/>
                <w:b/>
                <w:bCs/>
                <w:color w:val="000000"/>
                <w:sz w:val="20"/>
                <w:szCs w:val="20"/>
              </w:rPr>
            </w:pPr>
            <w:r>
              <w:rPr>
                <w:rFonts w:ascii="Times New Roman" w:hAnsi="Times New Roman"/>
                <w:b/>
                <w:color w:val="000000"/>
                <w:sz w:val="20"/>
              </w:rPr>
              <w:t>55,791</w:t>
            </w:r>
          </w:p>
        </w:tc>
        <w:tc>
          <w:tcPr>
            <w:tcW w:w="560" w:type="pct"/>
            <w:tcBorders>
              <w:top w:val="nil"/>
              <w:left w:val="nil"/>
              <w:bottom w:val="double" w:sz="6" w:space="0" w:color="auto"/>
              <w:right w:val="nil"/>
            </w:tcBorders>
            <w:shd w:val="clear" w:color="auto" w:fill="auto"/>
            <w:noWrap/>
            <w:vAlign w:val="center"/>
            <w:hideMark/>
          </w:tcPr>
          <w:p w14:paraId="39E32ED7" w14:textId="77777777" w:rsidR="000E35E3" w:rsidRPr="00895557" w:rsidRDefault="000E35E3" w:rsidP="00385866">
            <w:pPr>
              <w:jc w:val="center"/>
              <w:rPr>
                <w:rFonts w:ascii="Times New Roman" w:hAnsi="Times New Roman"/>
                <w:b/>
                <w:bCs/>
                <w:color w:val="000000"/>
                <w:sz w:val="20"/>
                <w:szCs w:val="20"/>
              </w:rPr>
            </w:pPr>
            <w:r>
              <w:rPr>
                <w:rFonts w:ascii="Times New Roman" w:hAnsi="Times New Roman"/>
                <w:b/>
                <w:color w:val="000000"/>
                <w:sz w:val="20"/>
              </w:rPr>
              <w:t>100%</w:t>
            </w:r>
          </w:p>
        </w:tc>
      </w:tr>
    </w:tbl>
    <w:p w14:paraId="294EA1E2" w14:textId="77777777" w:rsidR="000E35E3" w:rsidRDefault="000E35E3" w:rsidP="000E35E3">
      <w:pPr>
        <w:pStyle w:val="CORPO"/>
        <w:ind w:firstLine="0"/>
        <w:jc w:val="center"/>
        <w:rPr>
          <w:rFonts w:ascii="Times New Roman" w:hAnsi="Times New Roman" w:cs="Times New Roman"/>
          <w:sz w:val="18"/>
          <w:szCs w:val="18"/>
        </w:rPr>
      </w:pPr>
      <w:r>
        <w:t xml:space="preserve"> </w:t>
      </w:r>
      <w:r>
        <w:rPr>
          <w:rFonts w:ascii="Times New Roman" w:hAnsi="Times New Roman"/>
          <w:sz w:val="18"/>
        </w:rPr>
        <w:t>Source: Original work based on the 2013 Regional IOT.</w:t>
      </w:r>
    </w:p>
    <w:p w14:paraId="48A510FA" w14:textId="77777777" w:rsidR="000E35E3" w:rsidRPr="004D7A19" w:rsidRDefault="000E35E3" w:rsidP="000E35E3">
      <w:pPr>
        <w:pStyle w:val="CORPO"/>
        <w:ind w:firstLine="0"/>
        <w:jc w:val="center"/>
        <w:rPr>
          <w:rFonts w:ascii="Times New Roman" w:hAnsi="Times New Roman" w:cs="Times New Roman"/>
          <w:sz w:val="18"/>
          <w:szCs w:val="18"/>
        </w:rPr>
      </w:pPr>
    </w:p>
    <w:p w14:paraId="7F89114C" w14:textId="482B9D41" w:rsidR="000E35E3" w:rsidRPr="002F434D" w:rsidRDefault="00241269" w:rsidP="004C3F0D">
      <w:pPr>
        <w:pStyle w:val="Corpodetexto"/>
      </w:pPr>
      <w:r>
        <w:t>We highlight the</w:t>
      </w:r>
      <w:r w:rsidR="000E35E3">
        <w:t xml:space="preserve"> process of generation diversification between 2010 and 2013</w:t>
      </w:r>
      <w:r w:rsidR="004C3F0D">
        <w:t xml:space="preserve"> om Figure 10. During this</w:t>
      </w:r>
      <w:r w:rsidR="000E35E3">
        <w:t xml:space="preserve"> perio</w:t>
      </w:r>
      <w:r w:rsidR="004C3F0D">
        <w:t xml:space="preserve">d, Northeast increased its importance in the composition of the national electrical matrix by about 3%, and its energy generation increased by more than 30% – nearly three times the rate of the country as a whole (10.6%) </w:t>
      </w:r>
      <w:r w:rsidR="004C3F0D" w:rsidRPr="00D21BB5">
        <w:fldChar w:fldCharType="begin"/>
      </w:r>
      <w:r w:rsidR="004C3F0D">
        <w:instrText xml:space="preserve"> ADDIN ZOTERO_ITEM CSL_CITATION {"citationID":"rXiGoGJv","properties":{"formattedCitation":"(BRASIL, 2021)","plainCitation":"(BRASIL, 2021)","noteIndex":0},"citationItems":[{"id":9,"uris":["http://zotero.org/users/8767809/items/F54QHKBL",["http://zotero.org/users/8767809/items/F54QHKBL"]],"itemData":{"id":9,"type":"document","publisher":"Ministério de Minas e Energia","title":"Anuário Estatístico de Energia Elétrica 2021 - ano base 2020","URL":"https://www.epe.gov.br/pt/publicacoes-dados-abertos/publicacoes/anuario-estatistico-de-energia-eletrica","author":[{"family":"Brasil","given":""}],"accessed":{"date-parts":[["2021",10,7]]},"issued":{"date-parts":[["2021"]]}}}],"schema":"https://github.com/citation-style-language/schema/raw/master/csl-citation.json"} </w:instrText>
      </w:r>
      <w:r w:rsidR="004C3F0D" w:rsidRPr="00D21BB5">
        <w:fldChar w:fldCharType="separate"/>
      </w:r>
      <w:r w:rsidR="004C3F0D" w:rsidRPr="00D21BB5">
        <w:t>(</w:t>
      </w:r>
      <w:r w:rsidR="004C3F0D">
        <w:t>Brazil</w:t>
      </w:r>
      <w:r w:rsidR="004C3F0D" w:rsidRPr="00D21BB5">
        <w:t>, 2021)</w:t>
      </w:r>
      <w:r w:rsidR="004C3F0D" w:rsidRPr="00D21BB5">
        <w:fldChar w:fldCharType="end"/>
      </w:r>
      <w:r w:rsidR="004C3F0D">
        <w:t>.</w:t>
      </w:r>
      <w:r w:rsidR="000E35E3">
        <w:t xml:space="preserve"> </w:t>
      </w:r>
    </w:p>
    <w:p w14:paraId="48697F94" w14:textId="49286E24" w:rsidR="000E35E3" w:rsidRDefault="000E35E3" w:rsidP="000E35E3">
      <w:pPr>
        <w:pStyle w:val="Corpodetexto"/>
      </w:pPr>
      <w:r>
        <w:t xml:space="preserve">In fact, in 2014, the Northeast concentrated 76% of all installed wind and solar power </w:t>
      </w:r>
      <w:r w:rsidRPr="002252AD">
        <w:rPr>
          <w:color w:val="000000" w:themeColor="text1"/>
        </w:rPr>
        <w:fldChar w:fldCharType="begin"/>
      </w:r>
      <w:r>
        <w:rPr>
          <w:color w:val="000000" w:themeColor="text1"/>
        </w:rPr>
        <w:instrText xml:space="preserve"> ADDIN ZOTERO_ITEM CSL_CITATION {"citationID":"KrRtrg00","properties":{"formattedCitation":"(IBGE, 2016)","plainCitation":"(IBGE, 2016)","dontUpdate":true,"noteIndex":0},"citationItems":[{"id":58,"uris":["http://zotero.org/users/8767809/items/EPWCTF9M",["http://zotero.org/users/8767809/items/EPWCTF9M"]],"itemData":{"id":58,"type":"book","event-place":"Rio de Janeiro","number-of-pages":"100","publisher":"IBGE","publisher-place":"Rio de Janeiro","title":"Logística de Energia 2015: Redes e Fluxos de Energia","URL":"https://biblioteca.ibge.gov.br/index.php/biblioteca-catalogo?id=297260&amp;view=detalhes","author":[{"family":"IBGE","given":""}],"accessed":{"date-parts":[["2021",12,6]]},"issued":{"date-parts":[["2016"]]}}}],"schema":"https://github.com/citation-style-language/schema/raw/master/csl-citation.json"} </w:instrText>
      </w:r>
      <w:r w:rsidRPr="002252AD">
        <w:rPr>
          <w:color w:val="000000" w:themeColor="text1"/>
        </w:rPr>
        <w:fldChar w:fldCharType="separate"/>
      </w:r>
      <w:r w:rsidRPr="002252AD">
        <w:rPr>
          <w:color w:val="000000" w:themeColor="text1"/>
        </w:rPr>
        <w:t>(IBGE, 2016, p. 76)</w:t>
      </w:r>
      <w:r w:rsidRPr="002252AD">
        <w:rPr>
          <w:color w:val="000000" w:themeColor="text1"/>
        </w:rPr>
        <w:fldChar w:fldCharType="end"/>
      </w:r>
      <w:r>
        <w:t xml:space="preserve">, the sources with the highest growth rate in the country, as can be seen in Figure 1. Figure 10 shows the variation in energy generation by region between 2010 and 2013, illustrating the rapid growth in the Northeast and some stagnation in the Southeast </w:t>
      </w:r>
      <w:r w:rsidRPr="002252AD">
        <w:fldChar w:fldCharType="begin"/>
      </w:r>
      <w:r>
        <w:instrText xml:space="preserve"> ADDIN ZOTERO_ITEM CSL_CITATION {"citationID":"DXpRT8xC","properties":{"formattedCitation":"(BRASIL, 2021)","plainCitation":"(BRASIL, 2021)","noteIndex":0},"citationItems":[{"id":9,"uris":["http://zotero.org/users/8767809/items/F54QHKBL",["http://zotero.org/users/8767809/items/F54QHKBL"]],"itemData":{"id":9,"type":"document","publisher":"Ministério de Minas e Energia","title":"Anuário Estatístico de Energia Elétrica 2021 - ano base 2020","URL":"https://www.epe.gov.br/pt/publicacoes-dados-abertos/publicacoes/anuario-estatistico-de-energia-eletrica","author":[{"family":"Brasil","given":""}],"accessed":{"date-parts":[["2021",10,7]]},"issued":{"date-parts":[["2021"]]}}}],"schema":"https://github.com/citation-style-language/schema/raw/master/csl-citation.json"} </w:instrText>
      </w:r>
      <w:r w:rsidRPr="002252AD">
        <w:fldChar w:fldCharType="separate"/>
      </w:r>
      <w:r w:rsidRPr="002252AD">
        <w:t>(</w:t>
      </w:r>
      <w:r w:rsidR="00FD0883">
        <w:t>Brazil</w:t>
      </w:r>
      <w:r w:rsidRPr="002252AD">
        <w:t>, 2021)</w:t>
      </w:r>
      <w:r w:rsidRPr="002252AD">
        <w:fldChar w:fldCharType="end"/>
      </w:r>
      <w:r>
        <w:t>.</w:t>
      </w:r>
    </w:p>
    <w:p w14:paraId="780C86BF" w14:textId="77777777" w:rsidR="00477378" w:rsidRDefault="00477378" w:rsidP="00477378">
      <w:pPr>
        <w:autoSpaceDE w:val="0"/>
        <w:autoSpaceDN w:val="0"/>
        <w:adjustRightInd w:val="0"/>
        <w:spacing w:before="60" w:after="60" w:line="240" w:lineRule="auto"/>
        <w:ind w:firstLine="567"/>
        <w:jc w:val="both"/>
        <w:textAlignment w:val="center"/>
        <w:rPr>
          <w:rFonts w:ascii="Times New Roman" w:hAnsi="Times New Roman" w:cs="Baramond"/>
          <w:color w:val="000000"/>
          <w:lang w:eastAsia="pt-BR"/>
        </w:rPr>
      </w:pPr>
    </w:p>
    <w:p w14:paraId="540CF049" w14:textId="77777777" w:rsidR="00FD0883" w:rsidRDefault="00FD0883" w:rsidP="00477378">
      <w:pPr>
        <w:autoSpaceDE w:val="0"/>
        <w:autoSpaceDN w:val="0"/>
        <w:adjustRightInd w:val="0"/>
        <w:spacing w:before="60" w:after="60" w:line="240" w:lineRule="auto"/>
        <w:ind w:firstLine="567"/>
        <w:jc w:val="both"/>
        <w:textAlignment w:val="center"/>
        <w:rPr>
          <w:rFonts w:ascii="Times New Roman" w:hAnsi="Times New Roman" w:cs="Baramond"/>
          <w:color w:val="000000"/>
          <w:lang w:eastAsia="pt-BR"/>
        </w:rPr>
      </w:pPr>
    </w:p>
    <w:p w14:paraId="1702025D" w14:textId="77777777" w:rsidR="00FD0883" w:rsidRDefault="00FD0883" w:rsidP="00477378">
      <w:pPr>
        <w:autoSpaceDE w:val="0"/>
        <w:autoSpaceDN w:val="0"/>
        <w:adjustRightInd w:val="0"/>
        <w:spacing w:before="60" w:after="60" w:line="240" w:lineRule="auto"/>
        <w:ind w:firstLine="567"/>
        <w:jc w:val="both"/>
        <w:textAlignment w:val="center"/>
        <w:rPr>
          <w:rFonts w:ascii="Times New Roman" w:hAnsi="Times New Roman" w:cs="Baramond"/>
          <w:color w:val="000000"/>
          <w:lang w:eastAsia="pt-BR"/>
        </w:rPr>
      </w:pPr>
    </w:p>
    <w:p w14:paraId="1F7B870A" w14:textId="77777777" w:rsidR="004C3F0D" w:rsidRDefault="004C3F0D" w:rsidP="00477378">
      <w:pPr>
        <w:autoSpaceDE w:val="0"/>
        <w:autoSpaceDN w:val="0"/>
        <w:adjustRightInd w:val="0"/>
        <w:spacing w:before="60" w:after="60" w:line="240" w:lineRule="auto"/>
        <w:ind w:firstLine="567"/>
        <w:jc w:val="both"/>
        <w:textAlignment w:val="center"/>
        <w:rPr>
          <w:rFonts w:ascii="Times New Roman" w:hAnsi="Times New Roman" w:cs="Baramond"/>
          <w:color w:val="000000"/>
          <w:lang w:eastAsia="pt-BR"/>
        </w:rPr>
      </w:pPr>
    </w:p>
    <w:p w14:paraId="726E0039" w14:textId="77777777" w:rsidR="00FD0883" w:rsidRDefault="00FD0883" w:rsidP="00477378">
      <w:pPr>
        <w:autoSpaceDE w:val="0"/>
        <w:autoSpaceDN w:val="0"/>
        <w:adjustRightInd w:val="0"/>
        <w:spacing w:before="60" w:after="60" w:line="240" w:lineRule="auto"/>
        <w:ind w:firstLine="567"/>
        <w:jc w:val="both"/>
        <w:textAlignment w:val="center"/>
        <w:rPr>
          <w:rFonts w:ascii="Times New Roman" w:hAnsi="Times New Roman" w:cs="Baramond"/>
          <w:color w:val="000000"/>
          <w:lang w:eastAsia="pt-BR"/>
        </w:rPr>
      </w:pPr>
    </w:p>
    <w:p w14:paraId="32F0FD90" w14:textId="77777777" w:rsidR="00FD0883" w:rsidRDefault="00FD0883" w:rsidP="00477378">
      <w:pPr>
        <w:autoSpaceDE w:val="0"/>
        <w:autoSpaceDN w:val="0"/>
        <w:adjustRightInd w:val="0"/>
        <w:spacing w:before="60" w:after="60" w:line="240" w:lineRule="auto"/>
        <w:ind w:firstLine="567"/>
        <w:jc w:val="both"/>
        <w:textAlignment w:val="center"/>
        <w:rPr>
          <w:rFonts w:ascii="Times New Roman" w:hAnsi="Times New Roman" w:cs="Baramond"/>
          <w:color w:val="000000"/>
          <w:lang w:eastAsia="pt-BR"/>
        </w:rPr>
      </w:pPr>
    </w:p>
    <w:p w14:paraId="3D9B0ADB" w14:textId="77777777" w:rsidR="00FD0883" w:rsidRDefault="00FD0883" w:rsidP="00477378">
      <w:pPr>
        <w:autoSpaceDE w:val="0"/>
        <w:autoSpaceDN w:val="0"/>
        <w:adjustRightInd w:val="0"/>
        <w:spacing w:before="60" w:after="60" w:line="240" w:lineRule="auto"/>
        <w:ind w:firstLine="567"/>
        <w:jc w:val="both"/>
        <w:textAlignment w:val="center"/>
        <w:rPr>
          <w:rFonts w:ascii="Times New Roman" w:hAnsi="Times New Roman" w:cs="Baramond"/>
          <w:color w:val="000000"/>
          <w:lang w:eastAsia="pt-BR"/>
        </w:rPr>
      </w:pPr>
    </w:p>
    <w:p w14:paraId="09B41BF3" w14:textId="77777777" w:rsidR="00FD0883" w:rsidRPr="00477378" w:rsidRDefault="00FD0883" w:rsidP="00477378">
      <w:pPr>
        <w:autoSpaceDE w:val="0"/>
        <w:autoSpaceDN w:val="0"/>
        <w:adjustRightInd w:val="0"/>
        <w:spacing w:before="60" w:after="60" w:line="240" w:lineRule="auto"/>
        <w:ind w:firstLine="567"/>
        <w:jc w:val="both"/>
        <w:textAlignment w:val="center"/>
        <w:rPr>
          <w:rFonts w:ascii="Times New Roman" w:hAnsi="Times New Roman" w:cs="Baramond"/>
          <w:color w:val="000000"/>
          <w:lang w:eastAsia="pt-BR"/>
        </w:rPr>
      </w:pPr>
    </w:p>
    <w:p w14:paraId="5C52F66D" w14:textId="0D9042D6" w:rsidR="00A52C51" w:rsidRPr="002252AD" w:rsidRDefault="00A52C51" w:rsidP="00A52C51">
      <w:pPr>
        <w:pStyle w:val="Grfico"/>
      </w:pPr>
      <w:r>
        <w:lastRenderedPageBreak/>
        <w:t>Figure 10: Variation in Electricity Generation by Region</w:t>
      </w:r>
    </w:p>
    <w:p w14:paraId="75C4A45D" w14:textId="726CE8A6" w:rsidR="00A52C51" w:rsidRPr="002F434D" w:rsidRDefault="00C03EC0" w:rsidP="00A52C51">
      <w:pPr>
        <w:pStyle w:val="Corpodetexto"/>
        <w:ind w:firstLine="0"/>
        <w:jc w:val="center"/>
        <w:rPr>
          <w:rStyle w:val="EstilodelistaimportadadoWord4EstilosparalistasimportadasdoWordRTF"/>
        </w:rPr>
      </w:pPr>
      <w:r>
        <w:rPr>
          <w:noProof/>
        </w:rPr>
        <w:drawing>
          <wp:inline distT="0" distB="0" distL="0" distR="0" wp14:anchorId="57262249" wp14:editId="71665EAA">
            <wp:extent cx="4047345" cy="2698230"/>
            <wp:effectExtent l="0" t="0" r="4445" b="0"/>
            <wp:docPr id="1106550476" name="Image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6550476" name="Imagem 1106550476"/>
                    <pic:cNvPicPr/>
                  </pic:nvPicPr>
                  <pic:blipFill>
                    <a:blip r:embed="rId21"/>
                    <a:stretch>
                      <a:fillRect/>
                    </a:stretch>
                  </pic:blipFill>
                  <pic:spPr>
                    <a:xfrm>
                      <a:off x="0" y="0"/>
                      <a:ext cx="4054069" cy="2702713"/>
                    </a:xfrm>
                    <a:prstGeom prst="rect">
                      <a:avLst/>
                    </a:prstGeom>
                  </pic:spPr>
                </pic:pic>
              </a:graphicData>
            </a:graphic>
          </wp:inline>
        </w:drawing>
      </w:r>
    </w:p>
    <w:p w14:paraId="13E26BCA" w14:textId="03E78F28" w:rsidR="00A52C51" w:rsidRDefault="00A52C51" w:rsidP="00A52C51">
      <w:pPr>
        <w:pStyle w:val="CORPO"/>
        <w:ind w:firstLine="0"/>
        <w:jc w:val="center"/>
        <w:rPr>
          <w:rFonts w:ascii="Times New Roman" w:hAnsi="Times New Roman" w:cs="Times New Roman"/>
          <w:sz w:val="18"/>
          <w:szCs w:val="18"/>
        </w:rPr>
      </w:pPr>
      <w:r>
        <w:rPr>
          <w:rFonts w:ascii="Times New Roman" w:hAnsi="Times New Roman"/>
          <w:sz w:val="18"/>
        </w:rPr>
        <w:t xml:space="preserve">Source: </w:t>
      </w:r>
      <w:r w:rsidR="001A159C">
        <w:rPr>
          <w:rFonts w:ascii="Times New Roman" w:hAnsi="Times New Roman"/>
          <w:sz w:val="18"/>
        </w:rPr>
        <w:t>Brazil</w:t>
      </w:r>
      <w:r>
        <w:rPr>
          <w:rFonts w:ascii="Times New Roman" w:hAnsi="Times New Roman"/>
          <w:sz w:val="18"/>
        </w:rPr>
        <w:t xml:space="preserve"> (2021).</w:t>
      </w:r>
    </w:p>
    <w:p w14:paraId="78D74597" w14:textId="77777777" w:rsidR="004E5986" w:rsidRDefault="004E5986" w:rsidP="004E5986">
      <w:pPr>
        <w:tabs>
          <w:tab w:val="center" w:pos="4800"/>
          <w:tab w:val="right" w:pos="9500"/>
        </w:tabs>
        <w:spacing w:after="0" w:line="260" w:lineRule="atLeast"/>
        <w:outlineLvl w:val="1"/>
        <w:rPr>
          <w:rFonts w:ascii="Tahoma" w:eastAsia="Times New Roman" w:hAnsi="Tahoma" w:cs="Tahoma"/>
          <w:b/>
          <w:lang w:eastAsia="pt-BR"/>
        </w:rPr>
      </w:pPr>
    </w:p>
    <w:p w14:paraId="37D746D0" w14:textId="7BB57365" w:rsidR="004E5986" w:rsidRPr="004E5986" w:rsidRDefault="004E5986" w:rsidP="004E5986">
      <w:pPr>
        <w:tabs>
          <w:tab w:val="center" w:pos="4800"/>
          <w:tab w:val="right" w:pos="9500"/>
        </w:tabs>
        <w:spacing w:after="0" w:line="260" w:lineRule="atLeast"/>
        <w:outlineLvl w:val="1"/>
        <w:rPr>
          <w:rFonts w:ascii="Tahoma" w:hAnsi="Tahoma" w:cs="Tahoma"/>
          <w:b/>
        </w:rPr>
      </w:pPr>
      <w:r>
        <w:rPr>
          <w:rFonts w:ascii="Tahoma" w:hAnsi="Tahoma"/>
          <w:b/>
        </w:rPr>
        <w:t>5.1. Structur</w:t>
      </w:r>
      <w:r w:rsidR="00586E86">
        <w:rPr>
          <w:rFonts w:ascii="Tahoma" w:hAnsi="Tahoma"/>
          <w:b/>
        </w:rPr>
        <w:t>al</w:t>
      </w:r>
      <w:r>
        <w:rPr>
          <w:rFonts w:ascii="Tahoma" w:hAnsi="Tahoma"/>
          <w:b/>
        </w:rPr>
        <w:t xml:space="preserve"> Analysis</w:t>
      </w:r>
    </w:p>
    <w:p w14:paraId="58C47832" w14:textId="77777777" w:rsidR="004E5986" w:rsidRPr="004E5986" w:rsidRDefault="004E5986" w:rsidP="004E5986">
      <w:pPr>
        <w:tabs>
          <w:tab w:val="center" w:pos="4800"/>
          <w:tab w:val="right" w:pos="9500"/>
        </w:tabs>
        <w:spacing w:after="0" w:line="260" w:lineRule="atLeast"/>
        <w:rPr>
          <w:rFonts w:ascii="Tahoma" w:hAnsi="Tahoma" w:cs="Tahoma"/>
          <w:b/>
          <w:bCs/>
          <w:lang w:eastAsia="pt-BR"/>
        </w:rPr>
      </w:pPr>
    </w:p>
    <w:p w14:paraId="0443FFD1" w14:textId="5B2E0866" w:rsidR="004E5986" w:rsidRPr="004E5986" w:rsidRDefault="004E5986" w:rsidP="004E5986">
      <w:pPr>
        <w:autoSpaceDE w:val="0"/>
        <w:autoSpaceDN w:val="0"/>
        <w:adjustRightInd w:val="0"/>
        <w:spacing w:before="60" w:after="60" w:line="240" w:lineRule="auto"/>
        <w:ind w:firstLine="567"/>
        <w:jc w:val="both"/>
        <w:textAlignment w:val="center"/>
        <w:rPr>
          <w:rFonts w:ascii="Times New Roman" w:hAnsi="Times New Roman" w:cs="Baramond"/>
          <w:color w:val="000000"/>
        </w:rPr>
      </w:pPr>
      <w:r>
        <w:rPr>
          <w:rFonts w:ascii="Times New Roman" w:hAnsi="Times New Roman"/>
          <w:color w:val="000000"/>
        </w:rPr>
        <w:t xml:space="preserve">The inter-regional matrix allowed the simulation of five regional shocks in GFCF amounting to </w:t>
      </w:r>
      <w:r w:rsidR="00FD318E">
        <w:rPr>
          <w:rFonts w:ascii="Times New Roman" w:hAnsi="Times New Roman"/>
          <w:color w:val="000000"/>
        </w:rPr>
        <w:t>BRL</w:t>
      </w:r>
      <w:r>
        <w:rPr>
          <w:rFonts w:ascii="Times New Roman" w:hAnsi="Times New Roman"/>
          <w:color w:val="000000"/>
        </w:rPr>
        <w:t xml:space="preserve"> 34.3 million – 10% of the estimated GFCF for the electricity sector in 2013</w:t>
      </w:r>
      <w:r w:rsidRPr="004E5986">
        <w:rPr>
          <w:rFonts w:ascii="Times New Roman" w:hAnsi="Times New Roman" w:cs="Baramond"/>
          <w:color w:val="000000"/>
          <w:vertAlign w:val="superscript"/>
          <w:lang w:eastAsia="pt-BR"/>
        </w:rPr>
        <w:footnoteReference w:id="18"/>
      </w:r>
      <w:r>
        <w:rPr>
          <w:rFonts w:ascii="Times New Roman" w:hAnsi="Times New Roman"/>
          <w:color w:val="000000"/>
        </w:rPr>
        <w:t xml:space="preserve"> – in the five major regions of the country (North, Northeast, Southeast, South and </w:t>
      </w:r>
      <w:r w:rsidR="00C03EC0">
        <w:rPr>
          <w:rFonts w:ascii="Times New Roman" w:hAnsi="Times New Roman"/>
          <w:color w:val="000000"/>
        </w:rPr>
        <w:t>Midwest</w:t>
      </w:r>
      <w:r>
        <w:rPr>
          <w:rFonts w:ascii="Times New Roman" w:hAnsi="Times New Roman"/>
          <w:color w:val="000000"/>
        </w:rPr>
        <w:t xml:space="preserve">). </w:t>
      </w:r>
    </w:p>
    <w:p w14:paraId="3FB9ACBF" w14:textId="200D838D" w:rsidR="004E5986" w:rsidRPr="004E5986" w:rsidRDefault="004E5986" w:rsidP="004E5986">
      <w:pPr>
        <w:autoSpaceDE w:val="0"/>
        <w:autoSpaceDN w:val="0"/>
        <w:adjustRightInd w:val="0"/>
        <w:spacing w:before="60" w:after="60" w:line="240" w:lineRule="auto"/>
        <w:ind w:firstLine="567"/>
        <w:jc w:val="both"/>
        <w:textAlignment w:val="center"/>
        <w:rPr>
          <w:rFonts w:ascii="Times New Roman" w:hAnsi="Times New Roman" w:cs="Baramond"/>
          <w:color w:val="000000"/>
        </w:rPr>
      </w:pPr>
      <w:r>
        <w:rPr>
          <w:rFonts w:ascii="Times New Roman" w:hAnsi="Times New Roman"/>
          <w:color w:val="000000"/>
        </w:rPr>
        <w:t xml:space="preserve">This amount has been distributed within each region following the same proportion of the estimated investment for the activity that characterizes the electricity sector in the inter-regional IOT: Electricity and Gas. Take for example the Northeast region which was responsible for </w:t>
      </w:r>
      <w:r w:rsidR="00FD318E">
        <w:rPr>
          <w:rFonts w:ascii="Times New Roman" w:hAnsi="Times New Roman"/>
          <w:color w:val="000000"/>
        </w:rPr>
        <w:t>BRL</w:t>
      </w:r>
      <w:r>
        <w:rPr>
          <w:rFonts w:ascii="Times New Roman" w:hAnsi="Times New Roman"/>
          <w:color w:val="000000"/>
        </w:rPr>
        <w:t xml:space="preserve"> 58.89 million of the </w:t>
      </w:r>
      <w:r w:rsidR="00FD318E">
        <w:rPr>
          <w:rFonts w:ascii="Times New Roman" w:hAnsi="Times New Roman"/>
          <w:color w:val="000000"/>
        </w:rPr>
        <w:t>BRL</w:t>
      </w:r>
      <w:r>
        <w:rPr>
          <w:rFonts w:ascii="Times New Roman" w:hAnsi="Times New Roman"/>
          <w:color w:val="000000"/>
        </w:rPr>
        <w:t xml:space="preserve"> 343 million invested by the electricity sector in 2013. Since Bahia claimed 28.5% of the GFCF of the electricity sector in the Northeast (</w:t>
      </w:r>
      <w:r w:rsidR="00FD318E">
        <w:rPr>
          <w:rFonts w:ascii="Times New Roman" w:hAnsi="Times New Roman"/>
          <w:color w:val="000000"/>
        </w:rPr>
        <w:t>BRL</w:t>
      </w:r>
      <w:r>
        <w:rPr>
          <w:rFonts w:ascii="Times New Roman" w:hAnsi="Times New Roman"/>
          <w:color w:val="000000"/>
        </w:rPr>
        <w:t xml:space="preserve"> 16.8 million), its Electricity and Gas activity will also receive 28.5% of the shock of </w:t>
      </w:r>
      <w:r w:rsidR="00FD318E">
        <w:rPr>
          <w:rFonts w:ascii="Times New Roman" w:hAnsi="Times New Roman"/>
          <w:color w:val="000000"/>
        </w:rPr>
        <w:t>BRL</w:t>
      </w:r>
      <w:r>
        <w:rPr>
          <w:rFonts w:ascii="Times New Roman" w:hAnsi="Times New Roman"/>
          <w:color w:val="000000"/>
        </w:rPr>
        <w:t xml:space="preserve"> 34.3 million.</w:t>
      </w:r>
    </w:p>
    <w:p w14:paraId="51250197" w14:textId="6F225D2E" w:rsidR="004E5986" w:rsidRPr="004E5986" w:rsidRDefault="004E5986" w:rsidP="004E5986">
      <w:pPr>
        <w:autoSpaceDE w:val="0"/>
        <w:autoSpaceDN w:val="0"/>
        <w:adjustRightInd w:val="0"/>
        <w:spacing w:before="60" w:after="60" w:line="240" w:lineRule="auto"/>
        <w:ind w:firstLine="567"/>
        <w:jc w:val="both"/>
        <w:textAlignment w:val="center"/>
        <w:rPr>
          <w:rFonts w:ascii="Times New Roman" w:hAnsi="Times New Roman" w:cs="Baramond"/>
          <w:color w:val="000000"/>
        </w:rPr>
      </w:pPr>
      <w:r>
        <w:rPr>
          <w:rFonts w:ascii="Times New Roman" w:hAnsi="Times New Roman"/>
          <w:color w:val="000000"/>
        </w:rPr>
        <w:t xml:space="preserve">In general, </w:t>
      </w:r>
      <w:r w:rsidR="006F7B58">
        <w:rPr>
          <w:rFonts w:ascii="Times New Roman" w:hAnsi="Times New Roman"/>
          <w:color w:val="000000"/>
        </w:rPr>
        <w:t>let</w:t>
      </w:r>
      <w:r>
        <w:rPr>
          <w:rFonts w:ascii="Times New Roman" w:hAnsi="Times New Roman"/>
          <w:color w:val="000000"/>
        </w:rPr>
        <w:t xml:space="preserve"> </w:t>
      </w:r>
      <m:oMath>
        <m:sSup>
          <m:sSupPr>
            <m:ctrlPr>
              <w:rPr>
                <w:rFonts w:ascii="Cambria Math" w:hAnsi="Cambria Math" w:cs="Baramond"/>
                <w:i/>
                <w:color w:val="000000"/>
                <w:lang w:eastAsia="pt-BR"/>
              </w:rPr>
            </m:ctrlPr>
          </m:sSupPr>
          <m:e>
            <m:r>
              <w:rPr>
                <w:rFonts w:ascii="Cambria Math" w:hAnsi="Cambria Math" w:cs="Baramond"/>
                <w:color w:val="000000"/>
                <w:lang w:eastAsia="pt-BR"/>
              </w:rPr>
              <m:t>I</m:t>
            </m:r>
          </m:e>
          <m:sup>
            <m:r>
              <w:rPr>
                <w:rFonts w:ascii="Cambria Math" w:hAnsi="Cambria Math" w:cs="Baramond"/>
                <w:color w:val="000000"/>
                <w:lang w:eastAsia="pt-BR"/>
              </w:rPr>
              <m:t>R</m:t>
            </m:r>
          </m:sup>
        </m:sSup>
      </m:oMath>
      <w:r>
        <w:rPr>
          <w:rFonts w:ascii="Times New Roman" w:hAnsi="Times New Roman"/>
          <w:color w:val="000000"/>
        </w:rPr>
        <w:t xml:space="preserve"> is the total investment in the electricity sector in the region </w:t>
      </w:r>
      <m:oMath>
        <m:r>
          <w:rPr>
            <w:rFonts w:ascii="Cambria Math" w:hAnsi="Cambria Math" w:cs="Baramond"/>
            <w:color w:val="000000"/>
            <w:lang w:eastAsia="pt-BR"/>
          </w:rPr>
          <m:t>R</m:t>
        </m:r>
      </m:oMath>
      <w:r>
        <w:rPr>
          <w:rFonts w:ascii="Times New Roman" w:hAnsi="Times New Roman"/>
          <w:color w:val="000000"/>
        </w:rPr>
        <w:t xml:space="preserve">, </w:t>
      </w:r>
      <m:oMath>
        <m:sSup>
          <m:sSupPr>
            <m:ctrlPr>
              <w:rPr>
                <w:rFonts w:ascii="Cambria Math" w:hAnsi="Cambria Math" w:cs="Baramond"/>
                <w:i/>
                <w:color w:val="000000"/>
                <w:lang w:eastAsia="pt-BR"/>
              </w:rPr>
            </m:ctrlPr>
          </m:sSupPr>
          <m:e>
            <m:r>
              <w:rPr>
                <w:rFonts w:ascii="Cambria Math" w:hAnsi="Cambria Math" w:cs="Baramond"/>
                <w:color w:val="000000"/>
                <w:lang w:eastAsia="pt-BR"/>
              </w:rPr>
              <m:t>I</m:t>
            </m:r>
          </m:e>
          <m:sup>
            <m:r>
              <w:rPr>
                <w:rFonts w:ascii="Cambria Math" w:hAnsi="Cambria Math" w:cs="Baramond"/>
                <w:color w:val="000000"/>
                <w:lang w:eastAsia="pt-BR"/>
              </w:rPr>
              <m:t>UF</m:t>
            </m:r>
          </m:sup>
        </m:sSup>
      </m:oMath>
      <w:r>
        <w:rPr>
          <w:rFonts w:ascii="Times New Roman" w:hAnsi="Times New Roman"/>
          <w:color w:val="000000"/>
        </w:rPr>
        <w:t xml:space="preserve"> the investment of activity at </w:t>
      </w:r>
      <w:r w:rsidR="00904C02">
        <w:rPr>
          <w:rFonts w:ascii="Times New Roman" w:hAnsi="Times New Roman"/>
          <w:color w:val="000000"/>
        </w:rPr>
        <w:t xml:space="preserve">a </w:t>
      </w:r>
      <w:r>
        <w:rPr>
          <w:rFonts w:ascii="Times New Roman" w:hAnsi="Times New Roman"/>
          <w:color w:val="000000"/>
        </w:rPr>
        <w:t xml:space="preserve">UF and </w:t>
      </w:r>
      <m:oMath>
        <m:sSub>
          <m:sSubPr>
            <m:ctrlPr>
              <w:rPr>
                <w:rFonts w:ascii="Cambria Math" w:hAnsi="Cambria Math" w:cs="Baramond"/>
                <w:i/>
                <w:color w:val="000000"/>
                <w:lang w:eastAsia="pt-BR"/>
              </w:rPr>
            </m:ctrlPr>
          </m:sSubPr>
          <m:e>
            <m:r>
              <m:rPr>
                <m:sty m:val="bi"/>
              </m:rPr>
              <w:rPr>
                <w:rFonts w:ascii="Cambria Math" w:hAnsi="Cambria Math" w:cs="Baramond"/>
                <w:color w:val="000000"/>
                <w:lang w:eastAsia="pt-BR"/>
              </w:rPr>
              <m:t>c</m:t>
            </m:r>
          </m:e>
          <m:sub>
            <m:d>
              <m:dPr>
                <m:ctrlPr>
                  <w:rPr>
                    <w:rFonts w:ascii="Cambria Math" w:hAnsi="Cambria Math" w:cs="Baramond"/>
                    <w:i/>
                    <w:color w:val="000000"/>
                    <w:lang w:eastAsia="pt-BR"/>
                  </w:rPr>
                </m:ctrlPr>
              </m:dPr>
              <m:e>
                <m:r>
                  <w:rPr>
                    <w:rFonts w:ascii="Cambria Math" w:hAnsi="Cambria Math" w:cs="Baramond"/>
                    <w:color w:val="000000"/>
                    <w:lang w:eastAsia="pt-BR"/>
                  </w:rPr>
                  <m:t>27</m:t>
                </m:r>
                <m:r>
                  <m:rPr>
                    <m:sty m:val="p"/>
                  </m:rPr>
                  <w:rPr>
                    <w:rFonts w:ascii="Cambria Math" w:hAnsi="Cambria Math" w:cs="Baramond"/>
                    <w:color w:val="000000"/>
                    <w:lang w:eastAsia="pt-BR"/>
                  </w:rPr>
                  <m:t>⋅</m:t>
                </m:r>
                <m:r>
                  <w:rPr>
                    <w:rFonts w:ascii="Cambria Math" w:hAnsi="Cambria Math" w:cs="Baramond"/>
                    <w:color w:val="000000"/>
                    <w:lang w:eastAsia="pt-BR"/>
                  </w:rPr>
                  <m:t>68</m:t>
                </m:r>
              </m:e>
            </m:d>
            <m:r>
              <m:rPr>
                <m:sty m:val="p"/>
              </m:rPr>
              <w:rPr>
                <w:rFonts w:ascii="Cambria Math" w:hAnsi="Cambria Math" w:cs="Baramond"/>
                <w:color w:val="000000"/>
                <w:lang w:eastAsia="pt-BR"/>
              </w:rPr>
              <m:t>×</m:t>
            </m:r>
            <m:r>
              <w:rPr>
                <w:rFonts w:ascii="Cambria Math" w:hAnsi="Cambria Math" w:cs="Baramond"/>
                <w:color w:val="000000"/>
                <w:lang w:eastAsia="pt-BR"/>
              </w:rPr>
              <m:t>1</m:t>
            </m:r>
          </m:sub>
        </m:sSub>
      </m:oMath>
      <w:r>
        <w:rPr>
          <w:rFonts w:ascii="Times New Roman" w:hAnsi="Times New Roman"/>
          <w:color w:val="000000"/>
        </w:rPr>
        <w:t xml:space="preserve"> the vector of the monetary shock</w:t>
      </w:r>
      <w:r w:rsidR="00904C02">
        <w:rPr>
          <w:rFonts w:ascii="Times New Roman" w:hAnsi="Times New Roman"/>
          <w:color w:val="000000"/>
        </w:rPr>
        <w:t>s</w:t>
      </w:r>
      <w:r>
        <w:rPr>
          <w:rFonts w:ascii="Times New Roman" w:hAnsi="Times New Roman"/>
          <w:color w:val="000000"/>
        </w:rPr>
        <w:t xml:space="preserve"> to be applied to the final demand of the inter-regional matrix. The elements </w:t>
      </w:r>
      <m:oMath>
        <m:sSub>
          <m:sSubPr>
            <m:ctrlPr>
              <w:rPr>
                <w:rFonts w:ascii="Cambria Math" w:hAnsi="Cambria Math" w:cs="Baramond"/>
                <w:i/>
                <w:color w:val="000000"/>
                <w:lang w:eastAsia="pt-BR"/>
              </w:rPr>
            </m:ctrlPr>
          </m:sSubPr>
          <m:e>
            <m:r>
              <w:rPr>
                <w:rFonts w:ascii="Cambria Math" w:hAnsi="Cambria Math" w:cs="Baramond"/>
                <w:color w:val="000000"/>
                <w:lang w:eastAsia="pt-BR"/>
              </w:rPr>
              <m:t>c</m:t>
            </m:r>
          </m:e>
          <m:sub>
            <m:r>
              <w:rPr>
                <w:rFonts w:ascii="Cambria Math" w:hAnsi="Cambria Math" w:cs="Baramond"/>
                <w:color w:val="000000"/>
                <w:lang w:eastAsia="pt-BR"/>
              </w:rPr>
              <m:t>UF,i</m:t>
            </m:r>
          </m:sub>
        </m:sSub>
      </m:oMath>
      <w:r>
        <w:rPr>
          <w:rFonts w:ascii="Times New Roman" w:hAnsi="Times New Roman"/>
          <w:color w:val="000000"/>
        </w:rPr>
        <w:t xml:space="preserve"> (shock in the sector </w:t>
      </w:r>
      <m:oMath>
        <m:r>
          <w:rPr>
            <w:rFonts w:ascii="Cambria Math" w:hAnsi="Cambria Math" w:cs="Baramond"/>
            <w:color w:val="000000"/>
            <w:lang w:eastAsia="pt-BR"/>
          </w:rPr>
          <m:t>i</m:t>
        </m:r>
      </m:oMath>
      <w:r>
        <w:rPr>
          <w:rFonts w:ascii="Times New Roman" w:hAnsi="Times New Roman"/>
          <w:color w:val="000000"/>
        </w:rPr>
        <w:t xml:space="preserve"> of the state </w:t>
      </w:r>
      <m:oMath>
        <m:r>
          <w:rPr>
            <w:rFonts w:ascii="Cambria Math" w:hAnsi="Cambria Math" w:cs="Baramond"/>
            <w:color w:val="000000"/>
            <w:lang w:eastAsia="pt-BR"/>
          </w:rPr>
          <m:t>UF</m:t>
        </m:r>
      </m:oMath>
      <w:r>
        <w:rPr>
          <w:rFonts w:ascii="Times New Roman" w:hAnsi="Times New Roman"/>
          <w:color w:val="000000"/>
        </w:rPr>
        <w:t xml:space="preserve">) will only be different from 0 if the activity is Electricity and Gas </w:t>
      </w:r>
      <w:r>
        <w:rPr>
          <w:rFonts w:ascii="Times New Roman" w:hAnsi="Times New Roman"/>
          <w:color w:val="000000"/>
        </w:rPr>
        <w:lastRenderedPageBreak/>
        <w:t>(</w:t>
      </w:r>
      <m:oMath>
        <m:r>
          <w:rPr>
            <w:rFonts w:ascii="Cambria Math" w:hAnsi="Cambria Math" w:cs="Baramond"/>
            <w:color w:val="000000"/>
            <w:lang w:eastAsia="pt-BR"/>
          </w:rPr>
          <m:t>EG</m:t>
        </m:r>
      </m:oMath>
      <w:r>
        <w:rPr>
          <w:rFonts w:ascii="Times New Roman" w:hAnsi="Times New Roman"/>
          <w:color w:val="000000"/>
        </w:rPr>
        <w:t xml:space="preserve">) and the UF in question belongs to the shock region. Therefore, the elements </w:t>
      </w:r>
      <m:oMath>
        <m:sSub>
          <m:sSubPr>
            <m:ctrlPr>
              <w:rPr>
                <w:rFonts w:ascii="Cambria Math" w:hAnsi="Cambria Math" w:cs="Baramond"/>
                <w:i/>
                <w:color w:val="000000"/>
                <w:lang w:eastAsia="pt-BR"/>
              </w:rPr>
            </m:ctrlPr>
          </m:sSubPr>
          <m:e>
            <m:r>
              <w:rPr>
                <w:rFonts w:ascii="Cambria Math" w:hAnsi="Cambria Math" w:cs="Baramond"/>
                <w:color w:val="000000"/>
                <w:lang w:eastAsia="pt-BR"/>
              </w:rPr>
              <m:t>c</m:t>
            </m:r>
          </m:e>
          <m:sub>
            <m:r>
              <w:rPr>
                <w:rFonts w:ascii="Cambria Math" w:hAnsi="Cambria Math" w:cs="Baramond"/>
                <w:color w:val="000000"/>
                <w:lang w:eastAsia="pt-BR"/>
              </w:rPr>
              <m:t>UF,i</m:t>
            </m:r>
          </m:sub>
        </m:sSub>
      </m:oMath>
      <w:r>
        <w:rPr>
          <w:rFonts w:ascii="Times New Roman" w:hAnsi="Times New Roman"/>
          <w:color w:val="000000"/>
        </w:rPr>
        <w:t xml:space="preserve"> are as follows:</w:t>
      </w:r>
    </w:p>
    <w:p w14:paraId="13BACE68" w14:textId="77777777" w:rsidR="004E5986" w:rsidRPr="004E5986" w:rsidRDefault="004E5986" w:rsidP="004E5986">
      <w:pPr>
        <w:autoSpaceDE w:val="0"/>
        <w:autoSpaceDN w:val="0"/>
        <w:adjustRightInd w:val="0"/>
        <w:spacing w:before="60" w:after="60" w:line="240" w:lineRule="auto"/>
        <w:ind w:firstLine="567"/>
        <w:jc w:val="both"/>
        <w:textAlignment w:val="center"/>
        <w:rPr>
          <w:rFonts w:ascii="Times New Roman" w:hAnsi="Times New Roman" w:cs="Baramond"/>
          <w:color w:val="000000"/>
          <w:lang w:eastAsia="pt-BR"/>
        </w:rPr>
      </w:pPr>
    </w:p>
    <w:p w14:paraId="008D2960" w14:textId="17F11FC2" w:rsidR="004E5986" w:rsidRPr="004E5986" w:rsidRDefault="00000000" w:rsidP="004E5986">
      <w:pPr>
        <w:autoSpaceDE w:val="0"/>
        <w:autoSpaceDN w:val="0"/>
        <w:adjustRightInd w:val="0"/>
        <w:spacing w:before="60" w:after="120" w:line="240" w:lineRule="auto"/>
        <w:ind w:firstLine="567"/>
        <w:jc w:val="both"/>
        <w:textAlignment w:val="center"/>
        <w:rPr>
          <w:rFonts w:ascii="Times New Roman" w:hAnsi="Times New Roman" w:cs="Baramond"/>
          <w:color w:val="000000"/>
        </w:rPr>
      </w:pPr>
      <m:oMathPara>
        <m:oMath>
          <m:eqArr>
            <m:eqArrPr>
              <m:maxDist m:val="1"/>
              <m:ctrlPr>
                <w:rPr>
                  <w:rFonts w:ascii="Cambria Math" w:hAnsi="Cambria Math" w:cs="Baramond"/>
                  <w:color w:val="000000"/>
                  <w:sz w:val="20"/>
                  <w:lang w:eastAsia="pt-BR"/>
                </w:rPr>
              </m:ctrlPr>
            </m:eqArrPr>
            <m:e>
              <m:sSub>
                <m:sSubPr>
                  <m:ctrlPr>
                    <w:rPr>
                      <w:rFonts w:ascii="Cambria Math" w:hAnsi="Cambria Math" w:cs="Baramond"/>
                      <w:color w:val="000000"/>
                      <w:sz w:val="20"/>
                      <w:lang w:eastAsia="pt-BR"/>
                    </w:rPr>
                  </m:ctrlPr>
                </m:sSubPr>
                <m:e>
                  <m:r>
                    <w:rPr>
                      <w:rFonts w:ascii="Cambria Math" w:hAnsi="Cambria Math" w:cs="Baramond"/>
                      <w:color w:val="000000"/>
                      <w:sz w:val="20"/>
                      <w:lang w:eastAsia="pt-BR"/>
                    </w:rPr>
                    <m:t>c</m:t>
                  </m:r>
                </m:e>
                <m:sub>
                  <m:r>
                    <w:rPr>
                      <w:rFonts w:ascii="Cambria Math" w:hAnsi="Cambria Math" w:cs="Baramond"/>
                      <w:color w:val="000000"/>
                      <w:sz w:val="20"/>
                      <w:lang w:eastAsia="pt-BR"/>
                    </w:rPr>
                    <m:t>UF</m:t>
                  </m:r>
                  <m:r>
                    <m:rPr>
                      <m:sty m:val="p"/>
                    </m:rPr>
                    <w:rPr>
                      <w:rFonts w:ascii="Cambria Math" w:hAnsi="Cambria Math" w:cs="Baramond"/>
                      <w:color w:val="000000"/>
                      <w:sz w:val="20"/>
                      <w:lang w:eastAsia="pt-BR"/>
                    </w:rPr>
                    <m:t>,</m:t>
                  </m:r>
                  <m:r>
                    <w:rPr>
                      <w:rFonts w:ascii="Cambria Math" w:hAnsi="Cambria Math" w:cs="Baramond"/>
                      <w:color w:val="000000"/>
                      <w:sz w:val="20"/>
                      <w:lang w:eastAsia="pt-BR"/>
                    </w:rPr>
                    <m:t>i</m:t>
                  </m:r>
                </m:sub>
              </m:sSub>
              <m:r>
                <m:rPr>
                  <m:sty m:val="p"/>
                </m:rPr>
                <w:rPr>
                  <w:rFonts w:ascii="Cambria Math" w:hAnsi="Cambria Math" w:cs="Baramond"/>
                  <w:color w:val="000000"/>
                  <w:sz w:val="20"/>
                  <w:lang w:eastAsia="pt-BR"/>
                </w:rPr>
                <m:t>=</m:t>
              </m:r>
              <m:d>
                <m:dPr>
                  <m:begChr m:val="{"/>
                  <m:endChr m:val=""/>
                  <m:ctrlPr>
                    <w:rPr>
                      <w:rFonts w:ascii="Cambria Math" w:hAnsi="Cambria Math" w:cs="Baramond"/>
                      <w:color w:val="000000"/>
                      <w:sz w:val="20"/>
                      <w:lang w:eastAsia="pt-BR"/>
                    </w:rPr>
                  </m:ctrlPr>
                </m:dPr>
                <m:e>
                  <m:eqArr>
                    <m:eqArrPr>
                      <m:ctrlPr>
                        <w:rPr>
                          <w:rFonts w:ascii="Cambria Math" w:hAnsi="Cambria Math" w:cs="Baramond"/>
                          <w:color w:val="000000"/>
                          <w:sz w:val="20"/>
                          <w:lang w:eastAsia="pt-BR"/>
                        </w:rPr>
                      </m:ctrlPr>
                    </m:eqArrPr>
                    <m:e>
                      <m:r>
                        <m:rPr>
                          <m:sty m:val="p"/>
                        </m:rPr>
                        <w:rPr>
                          <w:rFonts w:ascii="Cambria Math" w:hAnsi="Cambria Math" w:cs="Baramond"/>
                          <w:color w:val="000000"/>
                          <w:sz w:val="20"/>
                          <w:lang w:eastAsia="pt-BR"/>
                        </w:rPr>
                        <m:t>34.3 ⋅</m:t>
                      </m:r>
                      <m:f>
                        <m:fPr>
                          <m:ctrlPr>
                            <w:rPr>
                              <w:rFonts w:ascii="Cambria Math" w:hAnsi="Cambria Math" w:cs="Baramond"/>
                              <w:color w:val="000000"/>
                              <w:sz w:val="20"/>
                              <w:lang w:eastAsia="pt-BR"/>
                            </w:rPr>
                          </m:ctrlPr>
                        </m:fPr>
                        <m:num>
                          <m:sSup>
                            <m:sSupPr>
                              <m:ctrlPr>
                                <w:rPr>
                                  <w:rFonts w:ascii="Cambria Math" w:hAnsi="Cambria Math" w:cs="Baramond"/>
                                  <w:color w:val="000000"/>
                                  <w:sz w:val="20"/>
                                  <w:lang w:eastAsia="pt-BR"/>
                                </w:rPr>
                              </m:ctrlPr>
                            </m:sSupPr>
                            <m:e>
                              <m:r>
                                <w:rPr>
                                  <w:rFonts w:ascii="Cambria Math" w:hAnsi="Cambria Math" w:cs="Baramond"/>
                                  <w:color w:val="000000"/>
                                  <w:sz w:val="20"/>
                                  <w:lang w:eastAsia="pt-BR"/>
                                </w:rPr>
                                <m:t>I</m:t>
                              </m:r>
                            </m:e>
                            <m:sup>
                              <m:r>
                                <w:rPr>
                                  <w:rFonts w:ascii="Cambria Math" w:hAnsi="Cambria Math" w:cs="Baramond"/>
                                  <w:color w:val="000000"/>
                                  <w:sz w:val="20"/>
                                  <w:lang w:eastAsia="pt-BR"/>
                                </w:rPr>
                                <m:t>UF</m:t>
                              </m:r>
                            </m:sup>
                          </m:sSup>
                        </m:num>
                        <m:den>
                          <m:sSup>
                            <m:sSupPr>
                              <m:ctrlPr>
                                <w:rPr>
                                  <w:rFonts w:ascii="Cambria Math" w:hAnsi="Cambria Math" w:cs="Baramond"/>
                                  <w:color w:val="000000"/>
                                  <w:sz w:val="20"/>
                                  <w:lang w:eastAsia="pt-BR"/>
                                </w:rPr>
                              </m:ctrlPr>
                            </m:sSupPr>
                            <m:e>
                              <m:r>
                                <w:rPr>
                                  <w:rFonts w:ascii="Cambria Math" w:hAnsi="Cambria Math" w:cs="Baramond"/>
                                  <w:color w:val="000000"/>
                                  <w:sz w:val="20"/>
                                  <w:lang w:eastAsia="pt-BR"/>
                                </w:rPr>
                                <m:t>I</m:t>
                              </m:r>
                            </m:e>
                            <m:sup>
                              <m:r>
                                <w:rPr>
                                  <w:rFonts w:ascii="Cambria Math" w:hAnsi="Cambria Math" w:cs="Baramond"/>
                                  <w:color w:val="000000"/>
                                  <w:sz w:val="20"/>
                                  <w:lang w:eastAsia="pt-BR"/>
                                </w:rPr>
                                <m:t>R</m:t>
                              </m:r>
                            </m:sup>
                          </m:sSup>
                        </m:den>
                      </m:f>
                      <m:r>
                        <m:rPr>
                          <m:sty m:val="p"/>
                        </m:rPr>
                        <w:rPr>
                          <w:rFonts w:ascii="Cambria Math" w:hAnsi="Cambria Math" w:cs="Baramond"/>
                          <w:color w:val="000000"/>
                          <w:sz w:val="20"/>
                          <w:lang w:eastAsia="pt-BR"/>
                        </w:rPr>
                        <m:t>,</m:t>
                      </m:r>
                      <m:r>
                        <m:rPr>
                          <m:sty m:val="p"/>
                        </m:rPr>
                        <w:rPr>
                          <w:rFonts w:ascii="Cambria Math" w:hAnsi="Cambria Math" w:cs="Baramond"/>
                          <w:color w:val="000000"/>
                          <w:sz w:val="20"/>
                          <w:lang w:eastAsia="pt-BR"/>
                        </w:rPr>
                        <m:t> </m:t>
                      </m:r>
                      <m:r>
                        <m:rPr>
                          <m:sty m:val="p"/>
                        </m:rPr>
                        <w:rPr>
                          <w:rFonts w:ascii="Cambria Math" w:hAnsi="Cambria Math" w:cs="Baramond"/>
                          <w:color w:val="000000"/>
                          <w:sz w:val="20"/>
                          <w:lang w:eastAsia="pt-BR"/>
                        </w:rPr>
                        <m:t xml:space="preserve"> </m:t>
                      </m:r>
                      <m:r>
                        <w:rPr>
                          <w:rFonts w:ascii="Cambria Math" w:hAnsi="Cambria Math" w:cs="Baramond"/>
                          <w:color w:val="000000"/>
                          <w:sz w:val="20"/>
                          <w:lang w:eastAsia="pt-BR"/>
                        </w:rPr>
                        <m:t>i</m:t>
                      </m:r>
                      <m:r>
                        <m:rPr>
                          <m:sty m:val="p"/>
                        </m:rPr>
                        <w:rPr>
                          <w:rFonts w:ascii="Cambria Math" w:hAnsi="Cambria Math" w:cs="Baramond"/>
                          <w:color w:val="000000"/>
                          <w:sz w:val="20"/>
                          <w:lang w:eastAsia="pt-BR"/>
                        </w:rPr>
                        <m:t>=</m:t>
                      </m:r>
                      <m:r>
                        <w:rPr>
                          <w:rFonts w:ascii="Cambria Math" w:hAnsi="Cambria Math" w:cs="Baramond"/>
                          <w:color w:val="000000"/>
                          <w:sz w:val="20"/>
                          <w:lang w:eastAsia="pt-BR"/>
                        </w:rPr>
                        <m:t>EG</m:t>
                      </m:r>
                      <m:r>
                        <m:rPr>
                          <m:sty m:val="p"/>
                        </m:rPr>
                        <w:rPr>
                          <w:rFonts w:ascii="Cambria Math" w:hAnsi="Cambria Math" w:cs="Baramond"/>
                          <w:color w:val="000000"/>
                          <w:sz w:val="20"/>
                          <w:lang w:eastAsia="pt-BR"/>
                        </w:rPr>
                        <m:t xml:space="preserve"> &amp;&amp;&amp;&amp;and </m:t>
                      </m:r>
                      <m:r>
                        <w:rPr>
                          <w:rFonts w:ascii="Cambria Math" w:hAnsi="Cambria Math" w:cs="Baramond"/>
                          <w:color w:val="000000"/>
                          <w:sz w:val="20"/>
                          <w:lang w:eastAsia="pt-BR"/>
                        </w:rPr>
                        <m:t>UF</m:t>
                      </m:r>
                      <m:r>
                        <m:rPr>
                          <m:sty m:val="p"/>
                        </m:rPr>
                        <w:rPr>
                          <w:rFonts w:ascii="Cambria Math" w:hAnsi="Cambria Math" w:cs="Baramond"/>
                          <w:color w:val="000000"/>
                          <w:sz w:val="20"/>
                          <w:lang w:eastAsia="pt-BR"/>
                        </w:rPr>
                        <m:t xml:space="preserve"> ∈</m:t>
                      </m:r>
                      <m:r>
                        <m:rPr>
                          <m:lit/>
                          <m:sty m:val="p"/>
                        </m:rPr>
                        <w:rPr>
                          <w:rFonts w:ascii="Cambria Math" w:hAnsi="Cambria Math" w:cs="Baramond"/>
                          <w:color w:val="000000"/>
                          <w:sz w:val="20"/>
                          <w:lang w:eastAsia="pt-BR"/>
                        </w:rPr>
                        <m:t>{</m:t>
                      </m:r>
                      <m:r>
                        <w:rPr>
                          <w:rFonts w:ascii="Cambria Math" w:hAnsi="Cambria Math" w:cs="Baramond"/>
                          <w:color w:val="000000"/>
                          <w:sz w:val="20"/>
                          <w:lang w:eastAsia="pt-BR"/>
                        </w:rPr>
                        <m:t>R</m:t>
                      </m:r>
                      <m:r>
                        <m:rPr>
                          <m:lit/>
                          <m:sty m:val="p"/>
                        </m:rPr>
                        <w:rPr>
                          <w:rFonts w:ascii="Cambria Math" w:hAnsi="Cambria Math" w:cs="Baramond"/>
                          <w:color w:val="000000"/>
                          <w:sz w:val="20"/>
                          <w:lang w:eastAsia="pt-BR"/>
                        </w:rPr>
                        <m:t>}</m:t>
                      </m:r>
                    </m:e>
                    <m:e>
                      <m:r>
                        <m:rPr>
                          <m:sty m:val="p"/>
                        </m:rPr>
                        <w:rPr>
                          <w:rFonts w:ascii="Cambria Math" w:hAnsi="Cambria Math" w:cs="Baramond"/>
                          <w:color w:val="000000"/>
                          <w:sz w:val="20"/>
                          <w:lang w:eastAsia="pt-BR"/>
                        </w:rPr>
                        <m:t>0,</m:t>
                      </m:r>
                      <m:r>
                        <m:rPr>
                          <m:sty m:val="p"/>
                        </m:rPr>
                        <w:rPr>
                          <w:rFonts w:ascii="Cambria Math" w:hAnsi="Cambria Math" w:cs="Baramond"/>
                          <w:color w:val="000000"/>
                          <w:sz w:val="20"/>
                          <w:lang w:eastAsia="pt-BR"/>
                        </w:rPr>
                        <m:t> </m:t>
                      </m:r>
                      <m:r>
                        <m:rPr>
                          <m:nor/>
                        </m:rPr>
                        <w:rPr>
                          <w:rFonts w:ascii="Times New Roman" w:hAnsi="Times New Roman" w:cs="Baramond"/>
                          <w:color w:val="000000"/>
                          <w:sz w:val="20"/>
                          <w:lang w:eastAsia="pt-BR"/>
                        </w:rPr>
                        <m:t>otherwise</m:t>
                      </m:r>
                    </m:e>
                  </m:eqArr>
                </m:e>
              </m:d>
              <m:r>
                <m:rPr>
                  <m:sty m:val="p"/>
                </m:rPr>
                <w:rPr>
                  <w:rFonts w:ascii="Cambria Math" w:hAnsi="Cambria Math" w:cs="Baramond"/>
                  <w:color w:val="000000"/>
                  <w:sz w:val="20"/>
                  <w:lang w:eastAsia="pt-BR"/>
                </w:rPr>
                <m:t>#</m:t>
              </m:r>
              <m:d>
                <m:dPr>
                  <m:ctrlPr>
                    <w:rPr>
                      <w:rFonts w:ascii="Cambria Math" w:hAnsi="Cambria Math" w:cs="Baramond"/>
                      <w:color w:val="000000"/>
                      <w:sz w:val="20"/>
                      <w:lang w:eastAsia="pt-BR"/>
                    </w:rPr>
                  </m:ctrlPr>
                </m:dPr>
                <m:e>
                  <m:r>
                    <m:rPr>
                      <m:sty m:val="p"/>
                    </m:rPr>
                    <w:rPr>
                      <w:rFonts w:ascii="Cambria Math" w:hAnsi="Cambria Math" w:cs="Baramond"/>
                      <w:color w:val="000000"/>
                      <w:sz w:val="20"/>
                      <w:lang w:eastAsia="pt-BR"/>
                    </w:rPr>
                    <m:t>7</m:t>
                  </m:r>
                </m:e>
              </m:d>
            </m:e>
          </m:eqArr>
        </m:oMath>
      </m:oMathPara>
    </w:p>
    <w:p w14:paraId="31F2C6D3" w14:textId="77777777" w:rsidR="00904C02" w:rsidRDefault="00904C02" w:rsidP="004E5986">
      <w:pPr>
        <w:autoSpaceDE w:val="0"/>
        <w:autoSpaceDN w:val="0"/>
        <w:adjustRightInd w:val="0"/>
        <w:spacing w:before="60" w:after="60" w:line="240" w:lineRule="auto"/>
        <w:ind w:firstLine="567"/>
        <w:jc w:val="both"/>
        <w:textAlignment w:val="center"/>
        <w:rPr>
          <w:rFonts w:ascii="Times New Roman" w:hAnsi="Times New Roman"/>
          <w:color w:val="000000"/>
        </w:rPr>
      </w:pPr>
    </w:p>
    <w:p w14:paraId="42790731" w14:textId="44920C68" w:rsidR="004E5986" w:rsidRPr="004E5986" w:rsidRDefault="004E5986" w:rsidP="004E5986">
      <w:pPr>
        <w:autoSpaceDE w:val="0"/>
        <w:autoSpaceDN w:val="0"/>
        <w:adjustRightInd w:val="0"/>
        <w:spacing w:before="60" w:after="60" w:line="240" w:lineRule="auto"/>
        <w:ind w:firstLine="567"/>
        <w:jc w:val="both"/>
        <w:textAlignment w:val="center"/>
        <w:rPr>
          <w:rFonts w:ascii="Times New Roman" w:hAnsi="Times New Roman" w:cs="Baramond"/>
          <w:color w:val="000000"/>
        </w:rPr>
      </w:pPr>
      <w:r>
        <w:rPr>
          <w:rFonts w:ascii="Times New Roman" w:hAnsi="Times New Roman"/>
          <w:color w:val="000000"/>
        </w:rPr>
        <w:t xml:space="preserve">The shock vector is then multiplied by the regional Leontief matrix – obtained in a similar way to the national model –, so that is possible to find the variation in production </w:t>
      </w:r>
      <m:oMath>
        <m:r>
          <m:rPr>
            <m:sty m:val="b"/>
          </m:rPr>
          <w:rPr>
            <w:rFonts w:ascii="Cambria Math" w:hAnsi="Cambria Math" w:cs="Baramond"/>
            <w:color w:val="000000"/>
            <w:lang w:eastAsia="pt-BR"/>
          </w:rPr>
          <m:t>Δ</m:t>
        </m:r>
        <m:sSub>
          <m:sSubPr>
            <m:ctrlPr>
              <w:rPr>
                <w:rFonts w:ascii="Cambria Math" w:hAnsi="Cambria Math" w:cs="Baramond"/>
                <w:i/>
                <w:color w:val="000000"/>
                <w:lang w:eastAsia="pt-BR"/>
              </w:rPr>
            </m:ctrlPr>
          </m:sSubPr>
          <m:e>
            <m:r>
              <m:rPr>
                <m:sty m:val="bi"/>
              </m:rPr>
              <w:rPr>
                <w:rFonts w:ascii="Cambria Math" w:hAnsi="Cambria Math" w:cs="Baramond"/>
                <w:color w:val="000000"/>
                <w:lang w:eastAsia="pt-BR"/>
              </w:rPr>
              <m:t>x</m:t>
            </m:r>
          </m:e>
          <m:sub>
            <m:d>
              <m:dPr>
                <m:ctrlPr>
                  <w:rPr>
                    <w:rFonts w:ascii="Cambria Math" w:hAnsi="Cambria Math" w:cs="Baramond"/>
                    <w:i/>
                    <w:color w:val="000000"/>
                    <w:lang w:eastAsia="pt-BR"/>
                  </w:rPr>
                </m:ctrlPr>
              </m:dPr>
              <m:e>
                <m:r>
                  <w:rPr>
                    <w:rFonts w:ascii="Cambria Math" w:hAnsi="Cambria Math" w:cs="Baramond"/>
                    <w:color w:val="000000"/>
                    <w:lang w:eastAsia="pt-BR"/>
                  </w:rPr>
                  <m:t>27</m:t>
                </m:r>
                <m:r>
                  <m:rPr>
                    <m:sty m:val="p"/>
                  </m:rPr>
                  <w:rPr>
                    <w:rFonts w:ascii="Cambria Math" w:hAnsi="Cambria Math" w:cs="Baramond"/>
                    <w:color w:val="000000"/>
                    <w:lang w:eastAsia="pt-BR"/>
                  </w:rPr>
                  <m:t>⋅</m:t>
                </m:r>
                <m:r>
                  <w:rPr>
                    <w:rFonts w:ascii="Cambria Math" w:hAnsi="Cambria Math" w:cs="Baramond"/>
                    <w:color w:val="000000"/>
                    <w:lang w:eastAsia="pt-BR"/>
                  </w:rPr>
                  <m:t>68</m:t>
                </m:r>
              </m:e>
            </m:d>
            <m:r>
              <m:rPr>
                <m:sty m:val="p"/>
              </m:rPr>
              <w:rPr>
                <w:rFonts w:ascii="Cambria Math" w:hAnsi="Cambria Math" w:cs="Baramond"/>
                <w:color w:val="000000"/>
                <w:lang w:eastAsia="pt-BR"/>
              </w:rPr>
              <m:t>×</m:t>
            </m:r>
            <m:r>
              <w:rPr>
                <w:rFonts w:ascii="Cambria Math" w:hAnsi="Cambria Math" w:cs="Baramond"/>
                <w:color w:val="000000"/>
                <w:lang w:eastAsia="pt-BR"/>
              </w:rPr>
              <m:t>1</m:t>
            </m:r>
          </m:sub>
        </m:sSub>
      </m:oMath>
      <w:r>
        <w:rPr>
          <w:rFonts w:ascii="Times New Roman" w:hAnsi="Times New Roman"/>
          <w:color w:val="000000"/>
        </w:rPr>
        <w:t xml:space="preserve"> in each sector of each UF due to the increase in investment in the Electricity and Gas activity in each region. The expression is given by:</w:t>
      </w:r>
    </w:p>
    <w:p w14:paraId="3815A8F0" w14:textId="77777777" w:rsidR="004E5986" w:rsidRPr="004E5986" w:rsidRDefault="004E5986" w:rsidP="004E5986">
      <w:pPr>
        <w:autoSpaceDE w:val="0"/>
        <w:autoSpaceDN w:val="0"/>
        <w:adjustRightInd w:val="0"/>
        <w:spacing w:before="60" w:after="60" w:line="240" w:lineRule="auto"/>
        <w:ind w:firstLine="567"/>
        <w:jc w:val="both"/>
        <w:textAlignment w:val="center"/>
        <w:rPr>
          <w:rFonts w:ascii="Times New Roman" w:hAnsi="Times New Roman" w:cs="Baramond"/>
          <w:color w:val="000000"/>
          <w:lang w:eastAsia="pt-BR"/>
        </w:rPr>
      </w:pPr>
    </w:p>
    <w:p w14:paraId="31FEBEBA" w14:textId="77777777" w:rsidR="004E5986" w:rsidRPr="004E5986" w:rsidRDefault="00000000" w:rsidP="004E5986">
      <w:pPr>
        <w:autoSpaceDE w:val="0"/>
        <w:autoSpaceDN w:val="0"/>
        <w:adjustRightInd w:val="0"/>
        <w:spacing w:before="60" w:after="60" w:line="240" w:lineRule="auto"/>
        <w:ind w:firstLine="567"/>
        <w:jc w:val="both"/>
        <w:textAlignment w:val="center"/>
        <w:rPr>
          <w:rFonts w:ascii="Times New Roman" w:hAnsi="Times New Roman" w:cs="Baramond"/>
          <w:color w:val="000000"/>
        </w:rPr>
      </w:pPr>
      <m:oMathPara>
        <m:oMath>
          <m:eqArr>
            <m:eqArrPr>
              <m:maxDist m:val="1"/>
              <m:ctrlPr>
                <w:rPr>
                  <w:rFonts w:ascii="Cambria Math" w:hAnsi="Cambria Math" w:cs="Baramond"/>
                  <w:color w:val="000000"/>
                  <w:sz w:val="20"/>
                  <w:lang w:eastAsia="pt-BR"/>
                </w:rPr>
              </m:ctrlPr>
            </m:eqArrPr>
            <m:e>
              <m:r>
                <m:rPr>
                  <m:sty m:val="b"/>
                </m:rPr>
                <w:rPr>
                  <w:rFonts w:ascii="Cambria Math" w:hAnsi="Cambria Math" w:cs="Baramond"/>
                  <w:color w:val="000000"/>
                  <w:sz w:val="20"/>
                  <w:lang w:eastAsia="pt-BR"/>
                </w:rPr>
                <m:t>Δ</m:t>
              </m:r>
              <m:sSub>
                <m:sSubPr>
                  <m:ctrlPr>
                    <w:rPr>
                      <w:rFonts w:ascii="Cambria Math" w:hAnsi="Cambria Math" w:cs="Baramond"/>
                      <w:color w:val="000000"/>
                      <w:sz w:val="20"/>
                      <w:lang w:eastAsia="pt-BR"/>
                    </w:rPr>
                  </m:ctrlPr>
                </m:sSubPr>
                <m:e>
                  <m:r>
                    <m:rPr>
                      <m:sty m:val="bi"/>
                    </m:rPr>
                    <w:rPr>
                      <w:rFonts w:ascii="Cambria Math" w:hAnsi="Cambria Math" w:cs="Baramond"/>
                      <w:color w:val="000000"/>
                      <w:sz w:val="20"/>
                      <w:lang w:eastAsia="pt-BR"/>
                    </w:rPr>
                    <m:t>x</m:t>
                  </m:r>
                </m:e>
                <m:sub>
                  <m:d>
                    <m:dPr>
                      <m:ctrlPr>
                        <w:rPr>
                          <w:rFonts w:ascii="Cambria Math" w:hAnsi="Cambria Math" w:cs="Baramond"/>
                          <w:color w:val="000000"/>
                          <w:sz w:val="20"/>
                          <w:lang w:eastAsia="pt-BR"/>
                        </w:rPr>
                      </m:ctrlPr>
                    </m:dPr>
                    <m:e>
                      <m:r>
                        <m:rPr>
                          <m:sty m:val="p"/>
                        </m:rPr>
                        <w:rPr>
                          <w:rFonts w:ascii="Cambria Math" w:hAnsi="Cambria Math" w:cs="Baramond"/>
                          <w:color w:val="000000"/>
                          <w:sz w:val="20"/>
                          <w:lang w:eastAsia="pt-BR"/>
                        </w:rPr>
                        <m:t>27⋅68</m:t>
                      </m:r>
                    </m:e>
                  </m:d>
                  <m:r>
                    <m:rPr>
                      <m:sty m:val="p"/>
                    </m:rPr>
                    <w:rPr>
                      <w:rFonts w:ascii="Cambria Math" w:hAnsi="Cambria Math" w:cs="Baramond"/>
                      <w:color w:val="000000"/>
                      <w:sz w:val="20"/>
                      <w:lang w:eastAsia="pt-BR"/>
                    </w:rPr>
                    <m:t>×1</m:t>
                  </m:r>
                </m:sub>
              </m:sSub>
              <m:r>
                <m:rPr>
                  <m:sty m:val="p"/>
                </m:rPr>
                <w:rPr>
                  <w:rFonts w:ascii="Cambria Math" w:hAnsi="Cambria Math" w:cs="Baramond"/>
                  <w:color w:val="000000"/>
                  <w:sz w:val="20"/>
                  <w:lang w:eastAsia="pt-BR"/>
                </w:rPr>
                <m:t>=</m:t>
              </m:r>
              <m:sSub>
                <m:sSubPr>
                  <m:ctrlPr>
                    <w:rPr>
                      <w:rFonts w:ascii="Cambria Math" w:hAnsi="Cambria Math" w:cs="Baramond"/>
                      <w:color w:val="000000"/>
                      <w:sz w:val="20"/>
                      <w:lang w:eastAsia="pt-BR"/>
                    </w:rPr>
                  </m:ctrlPr>
                </m:sSubPr>
                <m:e>
                  <m:r>
                    <m:rPr>
                      <m:sty m:val="bi"/>
                    </m:rPr>
                    <w:rPr>
                      <w:rFonts w:ascii="Cambria Math" w:hAnsi="Cambria Math" w:cs="Baramond"/>
                      <w:color w:val="000000"/>
                      <w:sz w:val="20"/>
                      <w:lang w:eastAsia="pt-BR"/>
                    </w:rPr>
                    <m:t>B</m:t>
                  </m:r>
                </m:e>
                <m:sub>
                  <m:d>
                    <m:dPr>
                      <m:ctrlPr>
                        <w:rPr>
                          <w:rFonts w:ascii="Cambria Math" w:hAnsi="Cambria Math" w:cs="Baramond"/>
                          <w:color w:val="000000"/>
                          <w:sz w:val="20"/>
                          <w:lang w:eastAsia="pt-BR"/>
                        </w:rPr>
                      </m:ctrlPr>
                    </m:dPr>
                    <m:e>
                      <m:r>
                        <m:rPr>
                          <m:sty m:val="p"/>
                        </m:rPr>
                        <w:rPr>
                          <w:rFonts w:ascii="Cambria Math" w:hAnsi="Cambria Math" w:cs="Baramond"/>
                          <w:color w:val="000000"/>
                          <w:sz w:val="20"/>
                          <w:lang w:eastAsia="pt-BR"/>
                        </w:rPr>
                        <m:t>27⋅68</m:t>
                      </m:r>
                    </m:e>
                  </m:d>
                  <m:r>
                    <m:rPr>
                      <m:sty m:val="p"/>
                    </m:rPr>
                    <w:rPr>
                      <w:rFonts w:ascii="Cambria Math" w:hAnsi="Cambria Math" w:cs="Baramond"/>
                      <w:color w:val="000000"/>
                      <w:sz w:val="20"/>
                      <w:lang w:eastAsia="pt-BR"/>
                    </w:rPr>
                    <m:t>×</m:t>
                  </m:r>
                  <m:d>
                    <m:dPr>
                      <m:ctrlPr>
                        <w:rPr>
                          <w:rFonts w:ascii="Cambria Math" w:hAnsi="Cambria Math" w:cs="Baramond"/>
                          <w:color w:val="000000"/>
                          <w:sz w:val="20"/>
                          <w:lang w:eastAsia="pt-BR"/>
                        </w:rPr>
                      </m:ctrlPr>
                    </m:dPr>
                    <m:e>
                      <m:r>
                        <m:rPr>
                          <m:sty m:val="p"/>
                        </m:rPr>
                        <w:rPr>
                          <w:rFonts w:ascii="Cambria Math" w:hAnsi="Cambria Math" w:cs="Baramond"/>
                          <w:color w:val="000000"/>
                          <w:sz w:val="20"/>
                          <w:lang w:eastAsia="pt-BR"/>
                        </w:rPr>
                        <m:t>27⋅68</m:t>
                      </m:r>
                    </m:e>
                  </m:d>
                </m:sub>
              </m:sSub>
              <m:r>
                <m:rPr>
                  <m:sty m:val="p"/>
                </m:rPr>
                <w:rPr>
                  <w:rFonts w:ascii="Cambria Math" w:hAnsi="Cambria Math" w:cs="Baramond"/>
                  <w:color w:val="000000"/>
                  <w:sz w:val="20"/>
                  <w:lang w:eastAsia="pt-BR"/>
                </w:rPr>
                <m:t>⋅</m:t>
              </m:r>
              <m:sSub>
                <m:sSubPr>
                  <m:ctrlPr>
                    <w:rPr>
                      <w:rFonts w:ascii="Cambria Math" w:hAnsi="Cambria Math" w:cs="Baramond"/>
                      <w:color w:val="000000"/>
                      <w:sz w:val="20"/>
                      <w:lang w:eastAsia="pt-BR"/>
                    </w:rPr>
                  </m:ctrlPr>
                </m:sSubPr>
                <m:e>
                  <m:r>
                    <m:rPr>
                      <m:sty m:val="bi"/>
                    </m:rPr>
                    <w:rPr>
                      <w:rFonts w:ascii="Cambria Math" w:hAnsi="Cambria Math" w:cs="Baramond"/>
                      <w:color w:val="000000"/>
                      <w:sz w:val="20"/>
                      <w:lang w:eastAsia="pt-BR"/>
                    </w:rPr>
                    <m:t>c</m:t>
                  </m:r>
                </m:e>
                <m:sub>
                  <m:d>
                    <m:dPr>
                      <m:ctrlPr>
                        <w:rPr>
                          <w:rFonts w:ascii="Cambria Math" w:hAnsi="Cambria Math" w:cs="Baramond"/>
                          <w:color w:val="000000"/>
                          <w:sz w:val="20"/>
                          <w:lang w:eastAsia="pt-BR"/>
                        </w:rPr>
                      </m:ctrlPr>
                    </m:dPr>
                    <m:e>
                      <m:r>
                        <m:rPr>
                          <m:sty m:val="p"/>
                        </m:rPr>
                        <w:rPr>
                          <w:rFonts w:ascii="Cambria Math" w:hAnsi="Cambria Math" w:cs="Baramond"/>
                          <w:color w:val="000000"/>
                          <w:sz w:val="20"/>
                          <w:lang w:eastAsia="pt-BR"/>
                        </w:rPr>
                        <m:t>27⋅68</m:t>
                      </m:r>
                    </m:e>
                  </m:d>
                  <m:r>
                    <m:rPr>
                      <m:sty m:val="p"/>
                    </m:rPr>
                    <w:rPr>
                      <w:rFonts w:ascii="Cambria Math" w:hAnsi="Cambria Math" w:cs="Baramond"/>
                      <w:color w:val="000000"/>
                      <w:sz w:val="20"/>
                      <w:lang w:eastAsia="pt-BR"/>
                    </w:rPr>
                    <m:t>×1</m:t>
                  </m:r>
                </m:sub>
              </m:sSub>
              <m:r>
                <m:rPr>
                  <m:sty m:val="p"/>
                </m:rPr>
                <w:rPr>
                  <w:rFonts w:ascii="Cambria Math" w:hAnsi="Cambria Math" w:cs="Baramond"/>
                  <w:color w:val="000000"/>
                  <w:sz w:val="20"/>
                  <w:lang w:eastAsia="pt-BR"/>
                </w:rPr>
                <m:t>#</m:t>
              </m:r>
              <m:d>
                <m:dPr>
                  <m:ctrlPr>
                    <w:rPr>
                      <w:rFonts w:ascii="Cambria Math" w:hAnsi="Cambria Math" w:cs="Baramond"/>
                      <w:color w:val="000000"/>
                      <w:sz w:val="20"/>
                      <w:lang w:eastAsia="pt-BR"/>
                    </w:rPr>
                  </m:ctrlPr>
                </m:dPr>
                <m:e>
                  <m:r>
                    <m:rPr>
                      <m:sty m:val="p"/>
                    </m:rPr>
                    <w:rPr>
                      <w:rFonts w:ascii="Cambria Math" w:hAnsi="Cambria Math" w:cs="Baramond"/>
                      <w:color w:val="000000"/>
                      <w:sz w:val="20"/>
                      <w:lang w:eastAsia="pt-BR"/>
                    </w:rPr>
                    <m:t>8</m:t>
                  </m:r>
                </m:e>
              </m:d>
            </m:e>
          </m:eqArr>
        </m:oMath>
      </m:oMathPara>
    </w:p>
    <w:p w14:paraId="14E7C09C" w14:textId="77777777" w:rsidR="004E5986" w:rsidRPr="004E5986" w:rsidRDefault="004E5986" w:rsidP="004E5986">
      <w:pPr>
        <w:autoSpaceDE w:val="0"/>
        <w:autoSpaceDN w:val="0"/>
        <w:adjustRightInd w:val="0"/>
        <w:spacing w:before="60" w:after="60" w:line="240" w:lineRule="auto"/>
        <w:ind w:firstLine="567"/>
        <w:jc w:val="both"/>
        <w:textAlignment w:val="center"/>
        <w:rPr>
          <w:rFonts w:ascii="Times New Roman" w:hAnsi="Times New Roman" w:cs="Baramond"/>
          <w:color w:val="000000"/>
          <w:lang w:eastAsia="pt-BR"/>
        </w:rPr>
      </w:pPr>
    </w:p>
    <w:p w14:paraId="19D4EEC0" w14:textId="1A36F80D" w:rsidR="004E5986" w:rsidRPr="004E5986" w:rsidRDefault="004E5986" w:rsidP="004E5986">
      <w:pPr>
        <w:autoSpaceDE w:val="0"/>
        <w:autoSpaceDN w:val="0"/>
        <w:adjustRightInd w:val="0"/>
        <w:spacing w:before="60" w:after="60" w:line="240" w:lineRule="auto"/>
        <w:ind w:firstLine="567"/>
        <w:jc w:val="both"/>
        <w:textAlignment w:val="center"/>
        <w:rPr>
          <w:rFonts w:ascii="Times New Roman" w:hAnsi="Times New Roman" w:cs="Baramond"/>
          <w:color w:val="000000"/>
        </w:rPr>
      </w:pPr>
      <w:r>
        <w:rPr>
          <w:rFonts w:ascii="Times New Roman" w:hAnsi="Times New Roman"/>
          <w:color w:val="000000"/>
        </w:rPr>
        <w:t xml:space="preserve">Similarly to the national model, one can multiply the vector of variation in production by the coefficients of wages, </w:t>
      </w:r>
      <w:r w:rsidR="00894197">
        <w:rPr>
          <w:rFonts w:ascii="Times New Roman" w:hAnsi="Times New Roman"/>
          <w:color w:val="000000"/>
        </w:rPr>
        <w:t>employment</w:t>
      </w:r>
      <w:r>
        <w:rPr>
          <w:rFonts w:ascii="Times New Roman" w:hAnsi="Times New Roman"/>
          <w:color w:val="000000"/>
        </w:rPr>
        <w:t xml:space="preserve"> </w:t>
      </w:r>
      <w:r w:rsidR="005146DA">
        <w:rPr>
          <w:rFonts w:ascii="Times New Roman" w:hAnsi="Times New Roman"/>
          <w:color w:val="000000"/>
        </w:rPr>
        <w:t xml:space="preserve">and </w:t>
      </w:r>
      <w:r>
        <w:rPr>
          <w:rFonts w:ascii="Times New Roman" w:hAnsi="Times New Roman"/>
          <w:color w:val="000000"/>
        </w:rPr>
        <w:t>taxes to find the impact of the shock on these variables in each sector of each state, always assuming that the production functions are of the Leontief type. The process described in Equations 7 and 8 is then repeated separately for each of the five major regions of the country, and the results of the shocks are disaggregated to the state level.</w:t>
      </w:r>
    </w:p>
    <w:p w14:paraId="18D7F992" w14:textId="77777777" w:rsidR="004E5986" w:rsidRPr="004E5986" w:rsidRDefault="004E5986" w:rsidP="004E5986">
      <w:pPr>
        <w:autoSpaceDE w:val="0"/>
        <w:autoSpaceDN w:val="0"/>
        <w:adjustRightInd w:val="0"/>
        <w:spacing w:before="60" w:after="60" w:line="240" w:lineRule="auto"/>
        <w:ind w:firstLine="567"/>
        <w:jc w:val="both"/>
        <w:textAlignment w:val="center"/>
        <w:rPr>
          <w:rFonts w:ascii="Times New Roman" w:hAnsi="Times New Roman" w:cs="Baramond"/>
          <w:color w:val="000000"/>
          <w:spacing w:val="-2"/>
        </w:rPr>
      </w:pPr>
      <w:r>
        <w:rPr>
          <w:rFonts w:ascii="Times New Roman" w:hAnsi="Times New Roman"/>
          <w:color w:val="000000"/>
        </w:rPr>
        <w:t>Intuitively, the results show, given the inter-regional sectoral structure estimated for 2013, the potential growth of the economy due to the increase in investment in the electricity sector and the pressure from other productive sectors for a greater volume of energy.</w:t>
      </w:r>
    </w:p>
    <w:p w14:paraId="308E03E5" w14:textId="658FE9EE" w:rsidR="004E5986" w:rsidRDefault="004E5986" w:rsidP="004E5986">
      <w:pPr>
        <w:autoSpaceDE w:val="0"/>
        <w:autoSpaceDN w:val="0"/>
        <w:adjustRightInd w:val="0"/>
        <w:spacing w:before="60" w:after="60" w:line="240" w:lineRule="auto"/>
        <w:ind w:firstLine="567"/>
        <w:jc w:val="both"/>
        <w:textAlignment w:val="center"/>
        <w:rPr>
          <w:rFonts w:ascii="Times New Roman" w:hAnsi="Times New Roman" w:cs="Baramond"/>
          <w:color w:val="000000"/>
        </w:rPr>
      </w:pPr>
      <w:r>
        <w:rPr>
          <w:rFonts w:ascii="Times New Roman" w:hAnsi="Times New Roman"/>
          <w:color w:val="000000"/>
        </w:rPr>
        <w:t xml:space="preserve">Extending the national work of </w:t>
      </w:r>
      <w:r w:rsidRPr="004E5986">
        <w:rPr>
          <w:rFonts w:ascii="Times New Roman" w:hAnsi="Times New Roman" w:cs="Baramond"/>
          <w:color w:val="000000"/>
        </w:rPr>
        <w:fldChar w:fldCharType="begin"/>
      </w:r>
      <w:r w:rsidRPr="004E5986">
        <w:rPr>
          <w:rFonts w:ascii="Times New Roman" w:hAnsi="Times New Roman" w:cs="Baramond"/>
          <w:color w:val="000000"/>
        </w:rPr>
        <w:instrText xml:space="preserve"> ADDIN ZOTERO_ITEM CSL_CITATION {"citationID":"5TdRVPrh","properties":{"formattedCitation":"(TAKASAGO; MOLLO; GUILHOTO, 2017)","plainCitation":"(TAKASAGO; MOLLO; GUILHOTO, 2017)","dontUpdate":true,"noteIndex":0},"citationItems":[{"id":47,"uris":["http://zotero.org/users/8767809/items/87PDJNPX",["http://zotero.org/users/8767809/items/87PDJNPX"]],"itemData":{"id":47,"type":"article-journal","abstract":"O artigo utiliza dados da matriz de insumo-produto brasileira de 2009 para simular aumentos de demanda de exportações, consumo e investimento, e calcula os impactos destes aumentos sobre emprego, salários e rendimentos, de forma a discutir as propostas desenvolvimentistas no Brasil. Ele resenha o debate desenvolvimentista, calcula os efeitos de encadeamento e de geração de emprego e renda nos vários setores da economia, tirando conclusões sobre a melhor forma de estimular a demanda quando o objetivo é impulsionar o desenvolvimento do país.","container-title":"Planejamento e Políticas Públicas","ISSN":"2359-389X","issue":"48","language":"pt","license":"Copyright (c)","note":"number: 48","source":"www.ipea.gov.br","title":"O debate desenvolvimentista no Brasil: discutindo resultados da matriz de insumo-produto","title-short":"O DEBATE DESENVOLVIMENTISTA NO BRASIL","URL":"//www.ipea.gov.br/ppp/index.php/PPP/article/view/718","author":[{"family":"Takasago","given":"Milene"},{"family":"Mollo","given":"Maria de Lourdes Rollemberg"},{"family":"Guilhoto","given":"Joaquim J. M."}],"accessed":{"date-parts":[["2021",11,26]]},"issued":{"date-parts":[["2017",7,28]]}}}],"schema":"https://github.com/citation-style-language/schema/raw/master/csl-citation.json"} </w:instrText>
      </w:r>
      <w:r w:rsidRPr="004E5986">
        <w:rPr>
          <w:rFonts w:ascii="Times New Roman" w:hAnsi="Times New Roman" w:cs="Baramond"/>
          <w:color w:val="000000"/>
        </w:rPr>
        <w:fldChar w:fldCharType="separate"/>
      </w:r>
      <w:r w:rsidRPr="004E5986">
        <w:rPr>
          <w:rFonts w:ascii="Times New Roman" w:hAnsi="Times New Roman" w:cs="Baramond"/>
          <w:color w:val="000000"/>
        </w:rPr>
        <w:t>Takasago, Mollo</w:t>
      </w:r>
      <w:r w:rsidR="005E365E">
        <w:rPr>
          <w:rFonts w:ascii="Times New Roman" w:hAnsi="Times New Roman" w:cs="Baramond"/>
          <w:color w:val="000000"/>
        </w:rPr>
        <w:t xml:space="preserve"> and </w:t>
      </w:r>
      <w:r w:rsidRPr="004E5986">
        <w:rPr>
          <w:rFonts w:ascii="Times New Roman" w:hAnsi="Times New Roman" w:cs="Baramond"/>
          <w:color w:val="000000"/>
        </w:rPr>
        <w:t>Guilhoto (2017)</w:t>
      </w:r>
      <w:r w:rsidRPr="004E5986">
        <w:rPr>
          <w:rFonts w:ascii="Times New Roman" w:hAnsi="Times New Roman" w:cs="Baramond"/>
          <w:color w:val="000000"/>
        </w:rPr>
        <w:fldChar w:fldCharType="end"/>
      </w:r>
      <w:r>
        <w:rPr>
          <w:rFonts w:ascii="Times New Roman" w:hAnsi="Times New Roman"/>
          <w:color w:val="000000"/>
        </w:rPr>
        <w:t xml:space="preserve">, impacts were calculated on production, </w:t>
      </w:r>
      <w:r w:rsidR="004E5DE9">
        <w:rPr>
          <w:rFonts w:ascii="Times New Roman" w:hAnsi="Times New Roman"/>
          <w:color w:val="000000"/>
        </w:rPr>
        <w:t>g</w:t>
      </w:r>
      <w:r>
        <w:rPr>
          <w:rFonts w:ascii="Times New Roman" w:hAnsi="Times New Roman"/>
          <w:color w:val="000000"/>
        </w:rPr>
        <w:t xml:space="preserve">ross </w:t>
      </w:r>
      <w:r w:rsidR="004E5DE9">
        <w:rPr>
          <w:rFonts w:ascii="Times New Roman" w:hAnsi="Times New Roman"/>
          <w:color w:val="000000"/>
        </w:rPr>
        <w:t>o</w:t>
      </w:r>
      <w:r>
        <w:rPr>
          <w:rFonts w:ascii="Times New Roman" w:hAnsi="Times New Roman"/>
          <w:color w:val="000000"/>
        </w:rPr>
        <w:t xml:space="preserve">perating </w:t>
      </w:r>
      <w:r w:rsidR="004E5DE9">
        <w:rPr>
          <w:rFonts w:ascii="Times New Roman" w:hAnsi="Times New Roman"/>
          <w:color w:val="000000"/>
        </w:rPr>
        <w:t>s</w:t>
      </w:r>
      <w:r>
        <w:rPr>
          <w:rFonts w:ascii="Times New Roman" w:hAnsi="Times New Roman"/>
          <w:color w:val="000000"/>
        </w:rPr>
        <w:t>urplus (GOS), wages and total income</w:t>
      </w:r>
      <w:r w:rsidRPr="004E5986">
        <w:rPr>
          <w:rFonts w:ascii="Times New Roman" w:hAnsi="Times New Roman" w:cs="Baramond"/>
          <w:color w:val="000000"/>
          <w:vertAlign w:val="superscript"/>
          <w:lang w:eastAsia="pt-BR"/>
        </w:rPr>
        <w:footnoteReference w:id="19"/>
      </w:r>
      <w:r>
        <w:rPr>
          <w:rFonts w:ascii="Times New Roman" w:hAnsi="Times New Roman"/>
          <w:color w:val="000000"/>
        </w:rPr>
        <w:t>, as well as on the collection of indirect taxes and, in particular, the tax on the circulation of goods and services (</w:t>
      </w:r>
      <w:r w:rsidRPr="00904C02">
        <w:rPr>
          <w:rFonts w:ascii="Times New Roman" w:hAnsi="Times New Roman"/>
          <w:i/>
          <w:iCs/>
          <w:color w:val="000000"/>
        </w:rPr>
        <w:t>Imposto sobre Circulação de Mercadorias e Serviços</w:t>
      </w:r>
      <w:r>
        <w:rPr>
          <w:rFonts w:ascii="Times New Roman" w:hAnsi="Times New Roman"/>
          <w:color w:val="000000"/>
        </w:rPr>
        <w:br/>
        <w:t xml:space="preserve"> - ICMS). The results for investment shocks in the electricity sector in the five main regions can be seen in Table 3, where the darker cells make it easier to see the largest impacts</w:t>
      </w:r>
      <w:r w:rsidRPr="004E5986">
        <w:rPr>
          <w:rFonts w:ascii="Times New Roman" w:hAnsi="Times New Roman" w:cs="Baramond"/>
          <w:color w:val="000000"/>
          <w:vertAlign w:val="superscript"/>
          <w:lang w:eastAsia="pt-BR"/>
        </w:rPr>
        <w:footnoteReference w:id="20"/>
      </w:r>
      <w:r>
        <w:rPr>
          <w:rFonts w:ascii="Times New Roman" w:hAnsi="Times New Roman"/>
          <w:color w:val="000000"/>
        </w:rPr>
        <w:t>.</w:t>
      </w:r>
    </w:p>
    <w:p w14:paraId="230772D7" w14:textId="77777777" w:rsidR="00A37B53" w:rsidRDefault="00A37B53" w:rsidP="00A37B53">
      <w:pPr>
        <w:autoSpaceDE w:val="0"/>
        <w:autoSpaceDN w:val="0"/>
        <w:adjustRightInd w:val="0"/>
        <w:spacing w:before="60" w:after="60" w:line="240" w:lineRule="auto"/>
        <w:jc w:val="both"/>
        <w:textAlignment w:val="center"/>
        <w:rPr>
          <w:rFonts w:ascii="Times New Roman" w:hAnsi="Times New Roman" w:cs="Baramond"/>
          <w:color w:val="000000"/>
          <w:lang w:eastAsia="pt-BR"/>
        </w:rPr>
      </w:pPr>
    </w:p>
    <w:p w14:paraId="38D3C7B1" w14:textId="77777777" w:rsidR="00A37B53" w:rsidRDefault="00A37B53" w:rsidP="00A37B53">
      <w:pPr>
        <w:autoSpaceDE w:val="0"/>
        <w:autoSpaceDN w:val="0"/>
        <w:adjustRightInd w:val="0"/>
        <w:spacing w:before="60" w:after="60" w:line="240" w:lineRule="auto"/>
        <w:jc w:val="both"/>
        <w:textAlignment w:val="center"/>
        <w:rPr>
          <w:rFonts w:ascii="Times New Roman" w:hAnsi="Times New Roman" w:cs="Baramond"/>
          <w:color w:val="000000"/>
          <w:lang w:eastAsia="pt-BR"/>
        </w:rPr>
      </w:pPr>
    </w:p>
    <w:p w14:paraId="3F59F234" w14:textId="77777777" w:rsidR="00A37B53" w:rsidRDefault="00A37B53" w:rsidP="00A37B53">
      <w:pPr>
        <w:autoSpaceDE w:val="0"/>
        <w:autoSpaceDN w:val="0"/>
        <w:adjustRightInd w:val="0"/>
        <w:spacing w:before="60" w:after="60" w:line="240" w:lineRule="auto"/>
        <w:jc w:val="both"/>
        <w:textAlignment w:val="center"/>
        <w:rPr>
          <w:rFonts w:ascii="Times New Roman" w:hAnsi="Times New Roman" w:cs="Baramond"/>
          <w:color w:val="000000"/>
          <w:lang w:eastAsia="pt-BR"/>
        </w:rPr>
      </w:pPr>
    </w:p>
    <w:p w14:paraId="331BC6B2" w14:textId="77777777" w:rsidR="00A37B53" w:rsidRDefault="00A37B53" w:rsidP="00A37B53">
      <w:pPr>
        <w:autoSpaceDE w:val="0"/>
        <w:autoSpaceDN w:val="0"/>
        <w:adjustRightInd w:val="0"/>
        <w:spacing w:before="60" w:after="60" w:line="240" w:lineRule="auto"/>
        <w:jc w:val="both"/>
        <w:textAlignment w:val="center"/>
        <w:rPr>
          <w:rFonts w:ascii="Times New Roman" w:hAnsi="Times New Roman" w:cs="Baramond"/>
          <w:color w:val="000000"/>
          <w:lang w:eastAsia="pt-BR"/>
        </w:rPr>
      </w:pPr>
    </w:p>
    <w:p w14:paraId="315F55EB" w14:textId="77777777" w:rsidR="00A37B53" w:rsidRDefault="00A37B53" w:rsidP="00A37B53">
      <w:pPr>
        <w:autoSpaceDE w:val="0"/>
        <w:autoSpaceDN w:val="0"/>
        <w:adjustRightInd w:val="0"/>
        <w:spacing w:before="60" w:after="60" w:line="240" w:lineRule="auto"/>
        <w:jc w:val="both"/>
        <w:textAlignment w:val="center"/>
        <w:rPr>
          <w:rFonts w:ascii="Times New Roman" w:hAnsi="Times New Roman" w:cs="Baramond"/>
          <w:color w:val="000000"/>
          <w:lang w:eastAsia="pt-BR"/>
        </w:rPr>
      </w:pPr>
    </w:p>
    <w:p w14:paraId="5ECCC005" w14:textId="6D8D9246" w:rsidR="00A37B53" w:rsidRPr="00A37B53" w:rsidRDefault="00A37B53" w:rsidP="00A37B53">
      <w:pPr>
        <w:autoSpaceDE w:val="0"/>
        <w:autoSpaceDN w:val="0"/>
        <w:adjustRightInd w:val="0"/>
        <w:spacing w:after="60" w:line="260" w:lineRule="atLeast"/>
        <w:jc w:val="center"/>
        <w:textAlignment w:val="center"/>
        <w:rPr>
          <w:rFonts w:ascii="Times New Roman" w:hAnsi="Times New Roman"/>
          <w:b/>
          <w:bCs/>
          <w:color w:val="000000"/>
        </w:rPr>
      </w:pPr>
      <w:r>
        <w:rPr>
          <w:rFonts w:ascii="Times New Roman" w:hAnsi="Times New Roman"/>
          <w:b/>
          <w:color w:val="000000"/>
        </w:rPr>
        <w:lastRenderedPageBreak/>
        <w:t xml:space="preserve">Table 3: Impacts of the Shock of </w:t>
      </w:r>
      <w:r w:rsidR="00FD318E">
        <w:rPr>
          <w:rFonts w:ascii="Times New Roman" w:hAnsi="Times New Roman"/>
          <w:b/>
          <w:color w:val="000000"/>
        </w:rPr>
        <w:t>BRL</w:t>
      </w:r>
      <w:r>
        <w:rPr>
          <w:rFonts w:ascii="Times New Roman" w:hAnsi="Times New Roman"/>
          <w:b/>
          <w:color w:val="000000"/>
        </w:rPr>
        <w:t xml:space="preserve"> 34.3 million (10% of the National Value) on Investment in the Electric Sector</w:t>
      </w:r>
    </w:p>
    <w:tbl>
      <w:tblPr>
        <w:tblW w:w="5000" w:type="pct"/>
        <w:jc w:val="center"/>
        <w:tblLayout w:type="fixed"/>
        <w:tblCellMar>
          <w:left w:w="70" w:type="dxa"/>
          <w:right w:w="70" w:type="dxa"/>
        </w:tblCellMar>
        <w:tblLook w:val="04A0" w:firstRow="1" w:lastRow="0" w:firstColumn="1" w:lastColumn="0" w:noHBand="0" w:noVBand="1"/>
      </w:tblPr>
      <w:tblGrid>
        <w:gridCol w:w="1421"/>
        <w:gridCol w:w="1378"/>
        <w:gridCol w:w="1026"/>
        <w:gridCol w:w="1027"/>
        <w:gridCol w:w="1027"/>
        <w:gridCol w:w="1027"/>
        <w:gridCol w:w="1027"/>
      </w:tblGrid>
      <w:tr w:rsidR="00A37B53" w:rsidRPr="00A37B53" w14:paraId="024125F3" w14:textId="77777777" w:rsidTr="00385866">
        <w:trPr>
          <w:cantSplit/>
          <w:trHeight w:val="220"/>
          <w:jc w:val="center"/>
        </w:trPr>
        <w:tc>
          <w:tcPr>
            <w:tcW w:w="1765" w:type="pct"/>
            <w:gridSpan w:val="2"/>
            <w:vMerge w:val="restart"/>
            <w:tcBorders>
              <w:top w:val="double" w:sz="6" w:space="0" w:color="auto"/>
              <w:left w:val="nil"/>
              <w:bottom w:val="single" w:sz="4" w:space="0" w:color="000000"/>
              <w:right w:val="single" w:sz="4" w:space="0" w:color="000000"/>
            </w:tcBorders>
            <w:shd w:val="clear" w:color="auto" w:fill="auto"/>
            <w:noWrap/>
            <w:vAlign w:val="center"/>
            <w:hideMark/>
          </w:tcPr>
          <w:p w14:paraId="6FEF69FD" w14:textId="77777777" w:rsidR="00A37B53" w:rsidRPr="00A37B53" w:rsidRDefault="00A37B53" w:rsidP="00A37B53">
            <w:pPr>
              <w:spacing w:after="0" w:line="240" w:lineRule="auto"/>
              <w:jc w:val="center"/>
              <w:rPr>
                <w:rFonts w:ascii="Times New Roman" w:eastAsia="Times New Roman" w:hAnsi="Times New Roman"/>
                <w:b/>
                <w:bCs/>
                <w:color w:val="000000"/>
                <w:sz w:val="20"/>
                <w:szCs w:val="20"/>
              </w:rPr>
            </w:pPr>
            <w:r>
              <w:rPr>
                <w:rFonts w:ascii="Times New Roman" w:hAnsi="Times New Roman"/>
                <w:b/>
                <w:color w:val="000000"/>
                <w:sz w:val="20"/>
              </w:rPr>
              <w:t>Effect of the shock in the region</w:t>
            </w:r>
          </w:p>
        </w:tc>
        <w:tc>
          <w:tcPr>
            <w:tcW w:w="3235" w:type="pct"/>
            <w:gridSpan w:val="5"/>
            <w:tcBorders>
              <w:top w:val="double" w:sz="6" w:space="0" w:color="auto"/>
              <w:left w:val="nil"/>
              <w:bottom w:val="single" w:sz="4" w:space="0" w:color="auto"/>
              <w:right w:val="single" w:sz="4" w:space="0" w:color="auto"/>
            </w:tcBorders>
            <w:shd w:val="clear" w:color="auto" w:fill="auto"/>
            <w:noWrap/>
            <w:vAlign w:val="center"/>
            <w:hideMark/>
          </w:tcPr>
          <w:p w14:paraId="4EC1F782" w14:textId="77777777" w:rsidR="00A37B53" w:rsidRPr="00A37B53" w:rsidRDefault="00A37B53" w:rsidP="00A37B53">
            <w:pPr>
              <w:spacing w:after="0" w:line="240" w:lineRule="auto"/>
              <w:jc w:val="center"/>
              <w:rPr>
                <w:rFonts w:ascii="Times New Roman" w:eastAsia="Times New Roman" w:hAnsi="Times New Roman"/>
                <w:b/>
                <w:bCs/>
                <w:color w:val="000000"/>
                <w:sz w:val="20"/>
                <w:szCs w:val="20"/>
              </w:rPr>
            </w:pPr>
            <w:r>
              <w:rPr>
                <w:rFonts w:ascii="Times New Roman" w:hAnsi="Times New Roman"/>
                <w:b/>
                <w:color w:val="000000"/>
                <w:sz w:val="20"/>
              </w:rPr>
              <w:t>Region of origin of the shock</w:t>
            </w:r>
          </w:p>
        </w:tc>
      </w:tr>
      <w:tr w:rsidR="00A37B53" w:rsidRPr="00A37B53" w14:paraId="72F1B9EC" w14:textId="77777777" w:rsidTr="00385866">
        <w:trPr>
          <w:cantSplit/>
          <w:trHeight w:val="220"/>
          <w:jc w:val="center"/>
        </w:trPr>
        <w:tc>
          <w:tcPr>
            <w:tcW w:w="1765" w:type="pct"/>
            <w:gridSpan w:val="2"/>
            <w:vMerge/>
            <w:tcBorders>
              <w:top w:val="double" w:sz="6" w:space="0" w:color="auto"/>
              <w:left w:val="nil"/>
              <w:bottom w:val="single" w:sz="4" w:space="0" w:color="000000"/>
              <w:right w:val="single" w:sz="4" w:space="0" w:color="000000"/>
            </w:tcBorders>
            <w:vAlign w:val="center"/>
            <w:hideMark/>
          </w:tcPr>
          <w:p w14:paraId="18598816" w14:textId="77777777" w:rsidR="00A37B53" w:rsidRPr="00A37B53" w:rsidRDefault="00A37B53" w:rsidP="00A37B53">
            <w:pPr>
              <w:spacing w:after="0" w:line="240" w:lineRule="auto"/>
              <w:rPr>
                <w:rFonts w:ascii="Times New Roman" w:eastAsia="Times New Roman" w:hAnsi="Times New Roman"/>
                <w:b/>
                <w:bCs/>
                <w:color w:val="000000"/>
                <w:sz w:val="20"/>
                <w:szCs w:val="20"/>
                <w:lang w:eastAsia="pt-BR"/>
              </w:rPr>
            </w:pPr>
          </w:p>
        </w:tc>
        <w:tc>
          <w:tcPr>
            <w:tcW w:w="647" w:type="pct"/>
            <w:tcBorders>
              <w:top w:val="nil"/>
              <w:left w:val="nil"/>
              <w:bottom w:val="single" w:sz="4" w:space="0" w:color="auto"/>
              <w:right w:val="single" w:sz="4" w:space="0" w:color="auto"/>
            </w:tcBorders>
            <w:shd w:val="clear" w:color="auto" w:fill="auto"/>
            <w:noWrap/>
            <w:vAlign w:val="center"/>
            <w:hideMark/>
          </w:tcPr>
          <w:p w14:paraId="3DC67F4C" w14:textId="77777777" w:rsidR="00A37B53" w:rsidRPr="00A37B53" w:rsidRDefault="00A37B53" w:rsidP="00A37B53">
            <w:pPr>
              <w:spacing w:after="0" w:line="240" w:lineRule="auto"/>
              <w:jc w:val="center"/>
              <w:rPr>
                <w:rFonts w:ascii="Times New Roman" w:eastAsia="Times New Roman" w:hAnsi="Times New Roman"/>
                <w:b/>
                <w:bCs/>
                <w:color w:val="000000"/>
                <w:sz w:val="20"/>
                <w:szCs w:val="20"/>
              </w:rPr>
            </w:pPr>
            <w:r>
              <w:rPr>
                <w:rFonts w:ascii="Times New Roman" w:hAnsi="Times New Roman"/>
                <w:b/>
                <w:color w:val="000000"/>
                <w:sz w:val="20"/>
              </w:rPr>
              <w:t>North</w:t>
            </w:r>
          </w:p>
        </w:tc>
        <w:tc>
          <w:tcPr>
            <w:tcW w:w="647" w:type="pct"/>
            <w:tcBorders>
              <w:top w:val="nil"/>
              <w:left w:val="nil"/>
              <w:bottom w:val="single" w:sz="4" w:space="0" w:color="auto"/>
              <w:right w:val="single" w:sz="4" w:space="0" w:color="auto"/>
            </w:tcBorders>
            <w:shd w:val="clear" w:color="auto" w:fill="auto"/>
            <w:noWrap/>
            <w:vAlign w:val="center"/>
            <w:hideMark/>
          </w:tcPr>
          <w:p w14:paraId="030E6626" w14:textId="77777777" w:rsidR="00A37B53" w:rsidRPr="00A37B53" w:rsidRDefault="00A37B53" w:rsidP="00A37B53">
            <w:pPr>
              <w:spacing w:after="0" w:line="240" w:lineRule="auto"/>
              <w:jc w:val="center"/>
              <w:rPr>
                <w:rFonts w:ascii="Times New Roman" w:eastAsia="Times New Roman" w:hAnsi="Times New Roman"/>
                <w:b/>
                <w:bCs/>
                <w:color w:val="000000"/>
                <w:sz w:val="20"/>
                <w:szCs w:val="20"/>
              </w:rPr>
            </w:pPr>
            <w:r>
              <w:rPr>
                <w:rFonts w:ascii="Times New Roman" w:hAnsi="Times New Roman"/>
                <w:b/>
                <w:color w:val="000000"/>
                <w:sz w:val="20"/>
              </w:rPr>
              <w:t>Northeast</w:t>
            </w:r>
          </w:p>
        </w:tc>
        <w:tc>
          <w:tcPr>
            <w:tcW w:w="647" w:type="pct"/>
            <w:tcBorders>
              <w:top w:val="nil"/>
              <w:left w:val="nil"/>
              <w:bottom w:val="single" w:sz="4" w:space="0" w:color="auto"/>
              <w:right w:val="single" w:sz="4" w:space="0" w:color="auto"/>
            </w:tcBorders>
            <w:shd w:val="clear" w:color="auto" w:fill="auto"/>
            <w:noWrap/>
            <w:vAlign w:val="center"/>
            <w:hideMark/>
          </w:tcPr>
          <w:p w14:paraId="5A71639E" w14:textId="77777777" w:rsidR="00A37B53" w:rsidRPr="00A37B53" w:rsidRDefault="00A37B53" w:rsidP="00A37B53">
            <w:pPr>
              <w:spacing w:after="0" w:line="240" w:lineRule="auto"/>
              <w:jc w:val="center"/>
              <w:rPr>
                <w:rFonts w:ascii="Times New Roman" w:eastAsia="Times New Roman" w:hAnsi="Times New Roman"/>
                <w:b/>
                <w:bCs/>
                <w:color w:val="000000"/>
                <w:sz w:val="20"/>
                <w:szCs w:val="20"/>
              </w:rPr>
            </w:pPr>
            <w:r>
              <w:rPr>
                <w:rFonts w:ascii="Times New Roman" w:hAnsi="Times New Roman"/>
                <w:b/>
                <w:color w:val="000000"/>
                <w:sz w:val="20"/>
              </w:rPr>
              <w:t>Southeast</w:t>
            </w:r>
          </w:p>
        </w:tc>
        <w:tc>
          <w:tcPr>
            <w:tcW w:w="647" w:type="pct"/>
            <w:tcBorders>
              <w:top w:val="nil"/>
              <w:left w:val="nil"/>
              <w:bottom w:val="single" w:sz="4" w:space="0" w:color="auto"/>
              <w:right w:val="single" w:sz="4" w:space="0" w:color="auto"/>
            </w:tcBorders>
            <w:shd w:val="clear" w:color="auto" w:fill="auto"/>
            <w:noWrap/>
            <w:vAlign w:val="center"/>
            <w:hideMark/>
          </w:tcPr>
          <w:p w14:paraId="4B079DDC" w14:textId="77777777" w:rsidR="00A37B53" w:rsidRPr="00A37B53" w:rsidRDefault="00A37B53" w:rsidP="00A37B53">
            <w:pPr>
              <w:spacing w:after="0" w:line="240" w:lineRule="auto"/>
              <w:jc w:val="center"/>
              <w:rPr>
                <w:rFonts w:ascii="Times New Roman" w:eastAsia="Times New Roman" w:hAnsi="Times New Roman"/>
                <w:b/>
                <w:bCs/>
                <w:color w:val="000000"/>
                <w:sz w:val="20"/>
                <w:szCs w:val="20"/>
              </w:rPr>
            </w:pPr>
            <w:r>
              <w:rPr>
                <w:rFonts w:ascii="Times New Roman" w:hAnsi="Times New Roman"/>
                <w:b/>
                <w:color w:val="000000"/>
                <w:sz w:val="20"/>
              </w:rPr>
              <w:t>South</w:t>
            </w:r>
          </w:p>
        </w:tc>
        <w:tc>
          <w:tcPr>
            <w:tcW w:w="647" w:type="pct"/>
            <w:tcBorders>
              <w:top w:val="nil"/>
              <w:left w:val="nil"/>
              <w:bottom w:val="single" w:sz="4" w:space="0" w:color="auto"/>
              <w:right w:val="nil"/>
            </w:tcBorders>
            <w:shd w:val="clear" w:color="auto" w:fill="auto"/>
            <w:noWrap/>
            <w:vAlign w:val="center"/>
            <w:hideMark/>
          </w:tcPr>
          <w:p w14:paraId="7E3FDC42" w14:textId="6E5450E9" w:rsidR="00A37B53" w:rsidRPr="00A37B53" w:rsidRDefault="00C03EC0" w:rsidP="00A37B53">
            <w:pPr>
              <w:spacing w:after="0" w:line="240" w:lineRule="auto"/>
              <w:jc w:val="center"/>
              <w:rPr>
                <w:rFonts w:ascii="Times New Roman" w:eastAsia="Times New Roman" w:hAnsi="Times New Roman"/>
                <w:b/>
                <w:bCs/>
                <w:color w:val="000000"/>
                <w:sz w:val="20"/>
                <w:szCs w:val="20"/>
              </w:rPr>
            </w:pPr>
            <w:r>
              <w:rPr>
                <w:rFonts w:ascii="Times New Roman" w:hAnsi="Times New Roman"/>
                <w:b/>
                <w:color w:val="000000"/>
                <w:sz w:val="20"/>
              </w:rPr>
              <w:t>Midwest</w:t>
            </w:r>
          </w:p>
        </w:tc>
      </w:tr>
      <w:tr w:rsidR="00A37B53" w:rsidRPr="00A37B53" w14:paraId="7F31018C" w14:textId="77777777" w:rsidTr="00385866">
        <w:trPr>
          <w:cantSplit/>
          <w:trHeight w:val="180"/>
          <w:jc w:val="center"/>
        </w:trPr>
        <w:tc>
          <w:tcPr>
            <w:tcW w:w="896" w:type="pct"/>
            <w:vMerge w:val="restart"/>
            <w:tcBorders>
              <w:top w:val="nil"/>
              <w:left w:val="nil"/>
              <w:bottom w:val="single" w:sz="4" w:space="0" w:color="auto"/>
              <w:right w:val="single" w:sz="4" w:space="0" w:color="auto"/>
            </w:tcBorders>
            <w:shd w:val="clear" w:color="auto" w:fill="auto"/>
            <w:vAlign w:val="center"/>
            <w:hideMark/>
          </w:tcPr>
          <w:p w14:paraId="3E768CF1" w14:textId="792E9766" w:rsidR="00A37B53" w:rsidRPr="00A37B53" w:rsidRDefault="002A5DA2" w:rsidP="00A37B53">
            <w:pPr>
              <w:spacing w:after="0" w:line="240" w:lineRule="auto"/>
              <w:rPr>
                <w:rFonts w:ascii="Times New Roman" w:eastAsia="Times New Roman" w:hAnsi="Times New Roman"/>
                <w:b/>
                <w:bCs/>
                <w:color w:val="000000"/>
                <w:sz w:val="20"/>
                <w:szCs w:val="20"/>
              </w:rPr>
            </w:pPr>
            <w:r>
              <w:rPr>
                <w:rFonts w:ascii="Times New Roman" w:hAnsi="Times New Roman"/>
                <w:b/>
                <w:color w:val="000000"/>
                <w:sz w:val="20"/>
              </w:rPr>
              <w:t>Value added</w:t>
            </w:r>
            <w:r w:rsidR="00A37B53">
              <w:rPr>
                <w:rFonts w:ascii="Times New Roman" w:hAnsi="Times New Roman"/>
                <w:b/>
                <w:color w:val="000000"/>
                <w:sz w:val="20"/>
              </w:rPr>
              <w:t>*</w:t>
            </w:r>
          </w:p>
        </w:tc>
        <w:tc>
          <w:tcPr>
            <w:tcW w:w="869" w:type="pct"/>
            <w:tcBorders>
              <w:top w:val="nil"/>
              <w:left w:val="nil"/>
              <w:bottom w:val="single" w:sz="4" w:space="0" w:color="auto"/>
              <w:right w:val="single" w:sz="4" w:space="0" w:color="auto"/>
            </w:tcBorders>
            <w:shd w:val="clear" w:color="auto" w:fill="auto"/>
            <w:noWrap/>
            <w:vAlign w:val="center"/>
            <w:hideMark/>
          </w:tcPr>
          <w:p w14:paraId="6509DD47" w14:textId="77777777" w:rsidR="00A37B53" w:rsidRPr="00A37B53" w:rsidRDefault="00A37B53" w:rsidP="00A37B53">
            <w:pPr>
              <w:spacing w:after="0" w:line="240" w:lineRule="auto"/>
              <w:rPr>
                <w:rFonts w:ascii="Times New Roman" w:eastAsia="Times New Roman" w:hAnsi="Times New Roman"/>
                <w:color w:val="000000"/>
                <w:sz w:val="20"/>
                <w:szCs w:val="20"/>
              </w:rPr>
            </w:pPr>
            <w:r>
              <w:rPr>
                <w:rFonts w:ascii="Times New Roman" w:hAnsi="Times New Roman"/>
                <w:color w:val="000000"/>
                <w:sz w:val="20"/>
              </w:rPr>
              <w:t>North</w:t>
            </w:r>
          </w:p>
        </w:tc>
        <w:tc>
          <w:tcPr>
            <w:tcW w:w="647" w:type="pct"/>
            <w:tcBorders>
              <w:top w:val="single" w:sz="4" w:space="0" w:color="auto"/>
              <w:left w:val="single" w:sz="4" w:space="0" w:color="auto"/>
              <w:bottom w:val="single" w:sz="4" w:space="0" w:color="auto"/>
              <w:right w:val="single" w:sz="4" w:space="0" w:color="auto"/>
            </w:tcBorders>
            <w:shd w:val="clear" w:color="000000" w:fill="78C78D"/>
            <w:noWrap/>
            <w:vAlign w:val="center"/>
            <w:hideMark/>
          </w:tcPr>
          <w:p w14:paraId="467AE3EE" w14:textId="77777777" w:rsidR="00A37B53" w:rsidRPr="00A37B53" w:rsidRDefault="00A37B53" w:rsidP="00A37B53">
            <w:pPr>
              <w:spacing w:after="0" w:line="240" w:lineRule="auto"/>
              <w:jc w:val="center"/>
              <w:rPr>
                <w:rFonts w:ascii="Times New Roman" w:eastAsia="Times New Roman" w:hAnsi="Times New Roman"/>
                <w:color w:val="000000"/>
                <w:sz w:val="20"/>
                <w:szCs w:val="20"/>
              </w:rPr>
            </w:pPr>
            <w:r>
              <w:rPr>
                <w:rFonts w:ascii="Times New Roman" w:hAnsi="Times New Roman"/>
                <w:color w:val="000000"/>
                <w:sz w:val="20"/>
              </w:rPr>
              <w:t>18.9</w:t>
            </w:r>
          </w:p>
        </w:tc>
        <w:tc>
          <w:tcPr>
            <w:tcW w:w="647" w:type="pct"/>
            <w:tcBorders>
              <w:top w:val="single" w:sz="4" w:space="0" w:color="auto"/>
              <w:left w:val="single" w:sz="4" w:space="0" w:color="auto"/>
              <w:bottom w:val="single" w:sz="4" w:space="0" w:color="auto"/>
              <w:right w:val="single" w:sz="4" w:space="0" w:color="auto"/>
            </w:tcBorders>
            <w:shd w:val="clear" w:color="000000" w:fill="F9FBFD"/>
            <w:noWrap/>
            <w:vAlign w:val="center"/>
            <w:hideMark/>
          </w:tcPr>
          <w:p w14:paraId="7386F3F4" w14:textId="77777777" w:rsidR="00A37B53" w:rsidRPr="00A37B53" w:rsidRDefault="00A37B53" w:rsidP="00A37B53">
            <w:pPr>
              <w:spacing w:after="0" w:line="240" w:lineRule="auto"/>
              <w:jc w:val="center"/>
              <w:rPr>
                <w:rFonts w:ascii="Times New Roman" w:eastAsia="Times New Roman" w:hAnsi="Times New Roman"/>
                <w:color w:val="000000"/>
                <w:sz w:val="20"/>
                <w:szCs w:val="20"/>
              </w:rPr>
            </w:pPr>
            <w:r>
              <w:rPr>
                <w:rFonts w:ascii="Times New Roman" w:hAnsi="Times New Roman"/>
                <w:color w:val="000000"/>
                <w:sz w:val="20"/>
              </w:rPr>
              <w:t>1.0</w:t>
            </w:r>
          </w:p>
        </w:tc>
        <w:tc>
          <w:tcPr>
            <w:tcW w:w="647" w:type="pct"/>
            <w:tcBorders>
              <w:top w:val="single" w:sz="4" w:space="0" w:color="auto"/>
              <w:left w:val="single" w:sz="4" w:space="0" w:color="auto"/>
              <w:bottom w:val="single" w:sz="4" w:space="0" w:color="auto"/>
              <w:right w:val="single" w:sz="4" w:space="0" w:color="auto"/>
            </w:tcBorders>
            <w:shd w:val="clear" w:color="000000" w:fill="FAFCFE"/>
            <w:noWrap/>
            <w:vAlign w:val="center"/>
            <w:hideMark/>
          </w:tcPr>
          <w:p w14:paraId="1B49D752" w14:textId="77777777" w:rsidR="00A37B53" w:rsidRPr="00A37B53" w:rsidRDefault="00A37B53" w:rsidP="00A37B53">
            <w:pPr>
              <w:spacing w:after="0" w:line="240" w:lineRule="auto"/>
              <w:jc w:val="center"/>
              <w:rPr>
                <w:rFonts w:ascii="Times New Roman" w:eastAsia="Times New Roman" w:hAnsi="Times New Roman"/>
                <w:color w:val="000000"/>
                <w:sz w:val="20"/>
                <w:szCs w:val="20"/>
              </w:rPr>
            </w:pPr>
            <w:r>
              <w:rPr>
                <w:rFonts w:ascii="Times New Roman" w:hAnsi="Times New Roman"/>
                <w:color w:val="000000"/>
                <w:sz w:val="20"/>
              </w:rPr>
              <w:t>0.9</w:t>
            </w:r>
          </w:p>
        </w:tc>
        <w:tc>
          <w:tcPr>
            <w:tcW w:w="647" w:type="pct"/>
            <w:tcBorders>
              <w:top w:val="single" w:sz="4" w:space="0" w:color="auto"/>
              <w:left w:val="single" w:sz="4" w:space="0" w:color="auto"/>
              <w:bottom w:val="single" w:sz="4" w:space="0" w:color="auto"/>
              <w:right w:val="single" w:sz="4" w:space="0" w:color="auto"/>
            </w:tcBorders>
            <w:shd w:val="clear" w:color="000000" w:fill="FCFCFF"/>
            <w:noWrap/>
            <w:vAlign w:val="center"/>
            <w:hideMark/>
          </w:tcPr>
          <w:p w14:paraId="7AD62C0B" w14:textId="77777777" w:rsidR="00A37B53" w:rsidRPr="00A37B53" w:rsidRDefault="00A37B53" w:rsidP="00A37B53">
            <w:pPr>
              <w:spacing w:after="0" w:line="240" w:lineRule="auto"/>
              <w:jc w:val="center"/>
              <w:rPr>
                <w:rFonts w:ascii="Times New Roman" w:eastAsia="Times New Roman" w:hAnsi="Times New Roman"/>
                <w:color w:val="000000"/>
                <w:sz w:val="20"/>
                <w:szCs w:val="20"/>
              </w:rPr>
            </w:pPr>
            <w:r>
              <w:rPr>
                <w:rFonts w:ascii="Times New Roman" w:hAnsi="Times New Roman"/>
                <w:color w:val="000000"/>
                <w:sz w:val="20"/>
              </w:rPr>
              <w:t>0.6</w:t>
            </w:r>
          </w:p>
        </w:tc>
        <w:tc>
          <w:tcPr>
            <w:tcW w:w="647" w:type="pct"/>
            <w:tcBorders>
              <w:top w:val="single" w:sz="4" w:space="0" w:color="auto"/>
              <w:left w:val="single" w:sz="4" w:space="0" w:color="auto"/>
              <w:bottom w:val="single" w:sz="4" w:space="0" w:color="auto"/>
              <w:right w:val="nil"/>
            </w:tcBorders>
            <w:shd w:val="clear" w:color="000000" w:fill="FBFCFE"/>
            <w:noWrap/>
            <w:vAlign w:val="center"/>
            <w:hideMark/>
          </w:tcPr>
          <w:p w14:paraId="0564983D" w14:textId="77777777" w:rsidR="00A37B53" w:rsidRPr="00A37B53" w:rsidRDefault="00A37B53" w:rsidP="00A37B53">
            <w:pPr>
              <w:spacing w:after="0" w:line="240" w:lineRule="auto"/>
              <w:jc w:val="center"/>
              <w:rPr>
                <w:rFonts w:ascii="Times New Roman" w:eastAsia="Times New Roman" w:hAnsi="Times New Roman"/>
                <w:color w:val="000000"/>
                <w:sz w:val="20"/>
                <w:szCs w:val="20"/>
              </w:rPr>
            </w:pPr>
            <w:r>
              <w:rPr>
                <w:rFonts w:ascii="Times New Roman" w:hAnsi="Times New Roman"/>
                <w:color w:val="000000"/>
                <w:sz w:val="20"/>
              </w:rPr>
              <w:t>0.8</w:t>
            </w:r>
          </w:p>
        </w:tc>
      </w:tr>
      <w:tr w:rsidR="00A37B53" w:rsidRPr="00A37B53" w14:paraId="0FB2E042" w14:textId="77777777" w:rsidTr="00385866">
        <w:trPr>
          <w:cantSplit/>
          <w:trHeight w:val="180"/>
          <w:jc w:val="center"/>
        </w:trPr>
        <w:tc>
          <w:tcPr>
            <w:tcW w:w="896" w:type="pct"/>
            <w:vMerge/>
            <w:tcBorders>
              <w:top w:val="nil"/>
              <w:left w:val="nil"/>
              <w:bottom w:val="single" w:sz="4" w:space="0" w:color="auto"/>
              <w:right w:val="single" w:sz="4" w:space="0" w:color="auto"/>
            </w:tcBorders>
            <w:vAlign w:val="center"/>
            <w:hideMark/>
          </w:tcPr>
          <w:p w14:paraId="16154A34" w14:textId="77777777" w:rsidR="00A37B53" w:rsidRPr="00A37B53" w:rsidRDefault="00A37B53" w:rsidP="00A37B53">
            <w:pPr>
              <w:spacing w:after="0" w:line="240" w:lineRule="auto"/>
              <w:rPr>
                <w:rFonts w:ascii="Times New Roman" w:eastAsia="Times New Roman" w:hAnsi="Times New Roman"/>
                <w:b/>
                <w:bCs/>
                <w:color w:val="000000"/>
                <w:sz w:val="20"/>
                <w:szCs w:val="20"/>
                <w:lang w:eastAsia="pt-BR"/>
              </w:rPr>
            </w:pPr>
          </w:p>
        </w:tc>
        <w:tc>
          <w:tcPr>
            <w:tcW w:w="869" w:type="pct"/>
            <w:tcBorders>
              <w:top w:val="nil"/>
              <w:left w:val="nil"/>
              <w:bottom w:val="single" w:sz="4" w:space="0" w:color="auto"/>
              <w:right w:val="single" w:sz="4" w:space="0" w:color="auto"/>
            </w:tcBorders>
            <w:shd w:val="clear" w:color="auto" w:fill="auto"/>
            <w:noWrap/>
            <w:vAlign w:val="center"/>
            <w:hideMark/>
          </w:tcPr>
          <w:p w14:paraId="49CC678F" w14:textId="77777777" w:rsidR="00A37B53" w:rsidRPr="00A37B53" w:rsidRDefault="00A37B53" w:rsidP="00A37B53">
            <w:pPr>
              <w:spacing w:after="0" w:line="240" w:lineRule="auto"/>
              <w:rPr>
                <w:rFonts w:ascii="Times New Roman" w:eastAsia="Times New Roman" w:hAnsi="Times New Roman"/>
                <w:color w:val="000000"/>
                <w:sz w:val="20"/>
                <w:szCs w:val="20"/>
              </w:rPr>
            </w:pPr>
            <w:r>
              <w:rPr>
                <w:rFonts w:ascii="Times New Roman" w:hAnsi="Times New Roman"/>
                <w:color w:val="000000"/>
                <w:sz w:val="20"/>
              </w:rPr>
              <w:t>Northeast</w:t>
            </w:r>
          </w:p>
        </w:tc>
        <w:tc>
          <w:tcPr>
            <w:tcW w:w="647" w:type="pct"/>
            <w:tcBorders>
              <w:top w:val="single" w:sz="4" w:space="0" w:color="auto"/>
              <w:left w:val="single" w:sz="4" w:space="0" w:color="auto"/>
              <w:bottom w:val="single" w:sz="4" w:space="0" w:color="auto"/>
              <w:right w:val="single" w:sz="4" w:space="0" w:color="auto"/>
            </w:tcBorders>
            <w:shd w:val="clear" w:color="000000" w:fill="FCFCFF"/>
            <w:noWrap/>
            <w:vAlign w:val="center"/>
            <w:hideMark/>
          </w:tcPr>
          <w:p w14:paraId="41ADBB68" w14:textId="77777777" w:rsidR="00A37B53" w:rsidRPr="00A37B53" w:rsidRDefault="00A37B53" w:rsidP="00A37B53">
            <w:pPr>
              <w:spacing w:after="0" w:line="240" w:lineRule="auto"/>
              <w:jc w:val="center"/>
              <w:rPr>
                <w:rFonts w:ascii="Times New Roman" w:eastAsia="Times New Roman" w:hAnsi="Times New Roman"/>
                <w:color w:val="000000"/>
                <w:sz w:val="20"/>
                <w:szCs w:val="20"/>
              </w:rPr>
            </w:pPr>
            <w:r>
              <w:rPr>
                <w:rFonts w:ascii="Times New Roman" w:hAnsi="Times New Roman"/>
                <w:color w:val="000000"/>
                <w:sz w:val="20"/>
              </w:rPr>
              <w:t>0.7</w:t>
            </w:r>
          </w:p>
        </w:tc>
        <w:tc>
          <w:tcPr>
            <w:tcW w:w="647" w:type="pct"/>
            <w:tcBorders>
              <w:top w:val="single" w:sz="4" w:space="0" w:color="auto"/>
              <w:left w:val="single" w:sz="4" w:space="0" w:color="auto"/>
              <w:bottom w:val="single" w:sz="4" w:space="0" w:color="auto"/>
              <w:right w:val="single" w:sz="4" w:space="0" w:color="auto"/>
            </w:tcBorders>
            <w:shd w:val="clear" w:color="000000" w:fill="A5D9B4"/>
            <w:noWrap/>
            <w:vAlign w:val="center"/>
            <w:hideMark/>
          </w:tcPr>
          <w:p w14:paraId="40FB522F" w14:textId="77777777" w:rsidR="00A37B53" w:rsidRPr="00A37B53" w:rsidRDefault="00A37B53" w:rsidP="00A37B53">
            <w:pPr>
              <w:spacing w:after="0" w:line="240" w:lineRule="auto"/>
              <w:jc w:val="center"/>
              <w:rPr>
                <w:rFonts w:ascii="Times New Roman" w:eastAsia="Times New Roman" w:hAnsi="Times New Roman"/>
                <w:color w:val="000000"/>
                <w:sz w:val="20"/>
                <w:szCs w:val="20"/>
              </w:rPr>
            </w:pPr>
            <w:r>
              <w:rPr>
                <w:rFonts w:ascii="Times New Roman" w:hAnsi="Times New Roman"/>
                <w:color w:val="000000"/>
                <w:sz w:val="20"/>
              </w:rPr>
              <w:t>12.7</w:t>
            </w:r>
          </w:p>
        </w:tc>
        <w:tc>
          <w:tcPr>
            <w:tcW w:w="647" w:type="pct"/>
            <w:tcBorders>
              <w:top w:val="single" w:sz="4" w:space="0" w:color="auto"/>
              <w:left w:val="single" w:sz="4" w:space="0" w:color="auto"/>
              <w:bottom w:val="single" w:sz="4" w:space="0" w:color="auto"/>
              <w:right w:val="single" w:sz="4" w:space="0" w:color="auto"/>
            </w:tcBorders>
            <w:shd w:val="clear" w:color="000000" w:fill="FCFCFF"/>
            <w:noWrap/>
            <w:vAlign w:val="center"/>
            <w:hideMark/>
          </w:tcPr>
          <w:p w14:paraId="048CA0E8" w14:textId="77777777" w:rsidR="00A37B53" w:rsidRPr="00A37B53" w:rsidRDefault="00A37B53" w:rsidP="00A37B53">
            <w:pPr>
              <w:spacing w:after="0" w:line="240" w:lineRule="auto"/>
              <w:jc w:val="center"/>
              <w:rPr>
                <w:rFonts w:ascii="Times New Roman" w:eastAsia="Times New Roman" w:hAnsi="Times New Roman"/>
                <w:color w:val="000000"/>
                <w:sz w:val="20"/>
                <w:szCs w:val="20"/>
              </w:rPr>
            </w:pPr>
            <w:r>
              <w:rPr>
                <w:rFonts w:ascii="Times New Roman" w:hAnsi="Times New Roman"/>
                <w:color w:val="000000"/>
                <w:sz w:val="20"/>
              </w:rPr>
              <w:t>0.6</w:t>
            </w:r>
          </w:p>
        </w:tc>
        <w:tc>
          <w:tcPr>
            <w:tcW w:w="647" w:type="pct"/>
            <w:tcBorders>
              <w:top w:val="single" w:sz="4" w:space="0" w:color="auto"/>
              <w:left w:val="single" w:sz="4" w:space="0" w:color="auto"/>
              <w:bottom w:val="single" w:sz="4" w:space="0" w:color="auto"/>
              <w:right w:val="single" w:sz="4" w:space="0" w:color="auto"/>
            </w:tcBorders>
            <w:shd w:val="clear" w:color="000000" w:fill="FCFCFF"/>
            <w:noWrap/>
            <w:vAlign w:val="center"/>
            <w:hideMark/>
          </w:tcPr>
          <w:p w14:paraId="220590DE" w14:textId="77777777" w:rsidR="00A37B53" w:rsidRPr="00A37B53" w:rsidRDefault="00A37B53" w:rsidP="00A37B53">
            <w:pPr>
              <w:spacing w:after="0" w:line="240" w:lineRule="auto"/>
              <w:jc w:val="center"/>
              <w:rPr>
                <w:rFonts w:ascii="Times New Roman" w:eastAsia="Times New Roman" w:hAnsi="Times New Roman"/>
                <w:color w:val="000000"/>
                <w:sz w:val="20"/>
                <w:szCs w:val="20"/>
              </w:rPr>
            </w:pPr>
            <w:r>
              <w:rPr>
                <w:rFonts w:ascii="Times New Roman" w:hAnsi="Times New Roman"/>
                <w:color w:val="000000"/>
                <w:sz w:val="20"/>
              </w:rPr>
              <w:t>0.6</w:t>
            </w:r>
          </w:p>
        </w:tc>
        <w:tc>
          <w:tcPr>
            <w:tcW w:w="647" w:type="pct"/>
            <w:tcBorders>
              <w:top w:val="single" w:sz="4" w:space="0" w:color="auto"/>
              <w:left w:val="single" w:sz="4" w:space="0" w:color="auto"/>
              <w:bottom w:val="single" w:sz="4" w:space="0" w:color="auto"/>
              <w:right w:val="nil"/>
            </w:tcBorders>
            <w:shd w:val="clear" w:color="000000" w:fill="FCFCFF"/>
            <w:noWrap/>
            <w:vAlign w:val="center"/>
            <w:hideMark/>
          </w:tcPr>
          <w:p w14:paraId="4A934B0C" w14:textId="77777777" w:rsidR="00A37B53" w:rsidRPr="00A37B53" w:rsidRDefault="00A37B53" w:rsidP="00A37B53">
            <w:pPr>
              <w:spacing w:after="0" w:line="240" w:lineRule="auto"/>
              <w:jc w:val="center"/>
              <w:rPr>
                <w:rFonts w:ascii="Times New Roman" w:eastAsia="Times New Roman" w:hAnsi="Times New Roman"/>
                <w:color w:val="000000"/>
                <w:sz w:val="20"/>
                <w:szCs w:val="20"/>
              </w:rPr>
            </w:pPr>
            <w:r>
              <w:rPr>
                <w:rFonts w:ascii="Times New Roman" w:hAnsi="Times New Roman"/>
                <w:color w:val="000000"/>
                <w:sz w:val="20"/>
              </w:rPr>
              <w:t>0.6</w:t>
            </w:r>
          </w:p>
        </w:tc>
      </w:tr>
      <w:tr w:rsidR="00A37B53" w:rsidRPr="00A37B53" w14:paraId="52B7B2D7" w14:textId="77777777" w:rsidTr="00385866">
        <w:trPr>
          <w:cantSplit/>
          <w:trHeight w:val="180"/>
          <w:jc w:val="center"/>
        </w:trPr>
        <w:tc>
          <w:tcPr>
            <w:tcW w:w="896" w:type="pct"/>
            <w:vMerge/>
            <w:tcBorders>
              <w:top w:val="nil"/>
              <w:left w:val="nil"/>
              <w:bottom w:val="single" w:sz="4" w:space="0" w:color="auto"/>
              <w:right w:val="single" w:sz="4" w:space="0" w:color="auto"/>
            </w:tcBorders>
            <w:vAlign w:val="center"/>
            <w:hideMark/>
          </w:tcPr>
          <w:p w14:paraId="5C51EFBC" w14:textId="77777777" w:rsidR="00A37B53" w:rsidRPr="00A37B53" w:rsidRDefault="00A37B53" w:rsidP="00A37B53">
            <w:pPr>
              <w:spacing w:after="0" w:line="240" w:lineRule="auto"/>
              <w:rPr>
                <w:rFonts w:ascii="Times New Roman" w:eastAsia="Times New Roman" w:hAnsi="Times New Roman"/>
                <w:b/>
                <w:bCs/>
                <w:color w:val="000000"/>
                <w:sz w:val="20"/>
                <w:szCs w:val="20"/>
                <w:lang w:eastAsia="pt-BR"/>
              </w:rPr>
            </w:pPr>
          </w:p>
        </w:tc>
        <w:tc>
          <w:tcPr>
            <w:tcW w:w="869" w:type="pct"/>
            <w:tcBorders>
              <w:top w:val="nil"/>
              <w:left w:val="nil"/>
              <w:bottom w:val="single" w:sz="4" w:space="0" w:color="auto"/>
              <w:right w:val="single" w:sz="4" w:space="0" w:color="auto"/>
            </w:tcBorders>
            <w:shd w:val="clear" w:color="auto" w:fill="auto"/>
            <w:noWrap/>
            <w:vAlign w:val="center"/>
            <w:hideMark/>
          </w:tcPr>
          <w:p w14:paraId="4E66DC22" w14:textId="77777777" w:rsidR="00A37B53" w:rsidRPr="00A37B53" w:rsidRDefault="00A37B53" w:rsidP="00A37B53">
            <w:pPr>
              <w:spacing w:after="0" w:line="240" w:lineRule="auto"/>
              <w:rPr>
                <w:rFonts w:ascii="Times New Roman" w:eastAsia="Times New Roman" w:hAnsi="Times New Roman"/>
                <w:color w:val="000000"/>
                <w:sz w:val="20"/>
                <w:szCs w:val="20"/>
              </w:rPr>
            </w:pPr>
            <w:r>
              <w:rPr>
                <w:rFonts w:ascii="Times New Roman" w:hAnsi="Times New Roman"/>
                <w:color w:val="000000"/>
                <w:sz w:val="20"/>
              </w:rPr>
              <w:t>Southeast</w:t>
            </w:r>
          </w:p>
        </w:tc>
        <w:tc>
          <w:tcPr>
            <w:tcW w:w="647" w:type="pct"/>
            <w:tcBorders>
              <w:top w:val="single" w:sz="4" w:space="0" w:color="auto"/>
              <w:left w:val="single" w:sz="4" w:space="0" w:color="auto"/>
              <w:bottom w:val="single" w:sz="4" w:space="0" w:color="auto"/>
              <w:right w:val="single" w:sz="4" w:space="0" w:color="auto"/>
            </w:tcBorders>
            <w:shd w:val="clear" w:color="000000" w:fill="D4ECDC"/>
            <w:noWrap/>
            <w:vAlign w:val="center"/>
            <w:hideMark/>
          </w:tcPr>
          <w:p w14:paraId="5B17E036" w14:textId="77777777" w:rsidR="00A37B53" w:rsidRPr="00A37B53" w:rsidRDefault="00A37B53" w:rsidP="00A37B53">
            <w:pPr>
              <w:spacing w:after="0" w:line="240" w:lineRule="auto"/>
              <w:jc w:val="center"/>
              <w:rPr>
                <w:rFonts w:ascii="Times New Roman" w:eastAsia="Times New Roman" w:hAnsi="Times New Roman"/>
                <w:color w:val="000000"/>
                <w:sz w:val="20"/>
                <w:szCs w:val="20"/>
              </w:rPr>
            </w:pPr>
            <w:r>
              <w:rPr>
                <w:rFonts w:ascii="Times New Roman" w:hAnsi="Times New Roman"/>
                <w:color w:val="000000"/>
                <w:sz w:val="20"/>
              </w:rPr>
              <w:t>6.2</w:t>
            </w:r>
          </w:p>
        </w:tc>
        <w:tc>
          <w:tcPr>
            <w:tcW w:w="647" w:type="pct"/>
            <w:tcBorders>
              <w:top w:val="single" w:sz="4" w:space="0" w:color="auto"/>
              <w:left w:val="single" w:sz="4" w:space="0" w:color="auto"/>
              <w:bottom w:val="single" w:sz="4" w:space="0" w:color="auto"/>
              <w:right w:val="single" w:sz="4" w:space="0" w:color="auto"/>
            </w:tcBorders>
            <w:shd w:val="clear" w:color="000000" w:fill="C0E4CB"/>
            <w:noWrap/>
            <w:vAlign w:val="center"/>
            <w:hideMark/>
          </w:tcPr>
          <w:p w14:paraId="3E016BFB" w14:textId="77777777" w:rsidR="00A37B53" w:rsidRPr="00A37B53" w:rsidRDefault="00A37B53" w:rsidP="00A37B53">
            <w:pPr>
              <w:spacing w:after="0" w:line="240" w:lineRule="auto"/>
              <w:jc w:val="center"/>
              <w:rPr>
                <w:rFonts w:ascii="Times New Roman" w:eastAsia="Times New Roman" w:hAnsi="Times New Roman"/>
                <w:color w:val="000000"/>
                <w:sz w:val="20"/>
                <w:szCs w:val="20"/>
              </w:rPr>
            </w:pPr>
            <w:r>
              <w:rPr>
                <w:rFonts w:ascii="Times New Roman" w:hAnsi="Times New Roman"/>
                <w:color w:val="000000"/>
                <w:sz w:val="20"/>
              </w:rPr>
              <w:t>8.9</w:t>
            </w:r>
          </w:p>
        </w:tc>
        <w:tc>
          <w:tcPr>
            <w:tcW w:w="647" w:type="pct"/>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57985965" w14:textId="77777777" w:rsidR="00A37B53" w:rsidRPr="00A37B53" w:rsidRDefault="00A37B53" w:rsidP="00A37B53">
            <w:pPr>
              <w:spacing w:after="0" w:line="240" w:lineRule="auto"/>
              <w:jc w:val="center"/>
              <w:rPr>
                <w:rFonts w:ascii="Times New Roman" w:eastAsia="Times New Roman" w:hAnsi="Times New Roman"/>
                <w:color w:val="000000"/>
                <w:sz w:val="20"/>
                <w:szCs w:val="20"/>
              </w:rPr>
            </w:pPr>
            <w:r>
              <w:rPr>
                <w:rFonts w:ascii="Times New Roman" w:hAnsi="Times New Roman"/>
                <w:color w:val="000000"/>
                <w:sz w:val="20"/>
              </w:rPr>
              <w:t>21.6</w:t>
            </w:r>
          </w:p>
        </w:tc>
        <w:tc>
          <w:tcPr>
            <w:tcW w:w="647" w:type="pct"/>
            <w:tcBorders>
              <w:top w:val="single" w:sz="4" w:space="0" w:color="auto"/>
              <w:left w:val="single" w:sz="4" w:space="0" w:color="auto"/>
              <w:bottom w:val="single" w:sz="4" w:space="0" w:color="auto"/>
              <w:right w:val="single" w:sz="4" w:space="0" w:color="auto"/>
            </w:tcBorders>
            <w:shd w:val="clear" w:color="000000" w:fill="C7E7D1"/>
            <w:noWrap/>
            <w:vAlign w:val="center"/>
            <w:hideMark/>
          </w:tcPr>
          <w:p w14:paraId="0AAA5009" w14:textId="77777777" w:rsidR="00A37B53" w:rsidRPr="00A37B53" w:rsidRDefault="00A37B53" w:rsidP="00A37B53">
            <w:pPr>
              <w:spacing w:after="0" w:line="240" w:lineRule="auto"/>
              <w:jc w:val="center"/>
              <w:rPr>
                <w:rFonts w:ascii="Times New Roman" w:eastAsia="Times New Roman" w:hAnsi="Times New Roman"/>
                <w:color w:val="000000"/>
                <w:sz w:val="20"/>
                <w:szCs w:val="20"/>
              </w:rPr>
            </w:pPr>
            <w:r>
              <w:rPr>
                <w:rFonts w:ascii="Times New Roman" w:hAnsi="Times New Roman"/>
                <w:color w:val="000000"/>
                <w:sz w:val="20"/>
              </w:rPr>
              <w:t>7.9</w:t>
            </w:r>
          </w:p>
        </w:tc>
        <w:tc>
          <w:tcPr>
            <w:tcW w:w="647" w:type="pct"/>
            <w:tcBorders>
              <w:top w:val="single" w:sz="4" w:space="0" w:color="auto"/>
              <w:left w:val="single" w:sz="4" w:space="0" w:color="auto"/>
              <w:bottom w:val="single" w:sz="4" w:space="0" w:color="auto"/>
              <w:right w:val="nil"/>
            </w:tcBorders>
            <w:shd w:val="clear" w:color="000000" w:fill="C9E8D3"/>
            <w:noWrap/>
            <w:vAlign w:val="center"/>
            <w:hideMark/>
          </w:tcPr>
          <w:p w14:paraId="42CD22AA" w14:textId="77777777" w:rsidR="00A37B53" w:rsidRPr="00A37B53" w:rsidRDefault="00A37B53" w:rsidP="00A37B53">
            <w:pPr>
              <w:spacing w:after="0" w:line="240" w:lineRule="auto"/>
              <w:jc w:val="center"/>
              <w:rPr>
                <w:rFonts w:ascii="Times New Roman" w:eastAsia="Times New Roman" w:hAnsi="Times New Roman"/>
                <w:color w:val="000000"/>
                <w:sz w:val="20"/>
                <w:szCs w:val="20"/>
              </w:rPr>
            </w:pPr>
            <w:r>
              <w:rPr>
                <w:rFonts w:ascii="Times New Roman" w:hAnsi="Times New Roman"/>
                <w:color w:val="000000"/>
                <w:sz w:val="20"/>
              </w:rPr>
              <w:t>7.6</w:t>
            </w:r>
          </w:p>
        </w:tc>
      </w:tr>
      <w:tr w:rsidR="00A37B53" w:rsidRPr="00A37B53" w14:paraId="41062267" w14:textId="77777777" w:rsidTr="00385866">
        <w:trPr>
          <w:cantSplit/>
          <w:trHeight w:val="180"/>
          <w:jc w:val="center"/>
        </w:trPr>
        <w:tc>
          <w:tcPr>
            <w:tcW w:w="896" w:type="pct"/>
            <w:vMerge/>
            <w:tcBorders>
              <w:top w:val="nil"/>
              <w:left w:val="nil"/>
              <w:bottom w:val="single" w:sz="4" w:space="0" w:color="auto"/>
              <w:right w:val="single" w:sz="4" w:space="0" w:color="auto"/>
            </w:tcBorders>
            <w:vAlign w:val="center"/>
            <w:hideMark/>
          </w:tcPr>
          <w:p w14:paraId="6C54CF33" w14:textId="77777777" w:rsidR="00A37B53" w:rsidRPr="00A37B53" w:rsidRDefault="00A37B53" w:rsidP="00A37B53">
            <w:pPr>
              <w:spacing w:after="0" w:line="240" w:lineRule="auto"/>
              <w:rPr>
                <w:rFonts w:ascii="Times New Roman" w:eastAsia="Times New Roman" w:hAnsi="Times New Roman"/>
                <w:b/>
                <w:bCs/>
                <w:color w:val="000000"/>
                <w:sz w:val="20"/>
                <w:szCs w:val="20"/>
                <w:lang w:eastAsia="pt-BR"/>
              </w:rPr>
            </w:pPr>
          </w:p>
        </w:tc>
        <w:tc>
          <w:tcPr>
            <w:tcW w:w="869" w:type="pct"/>
            <w:tcBorders>
              <w:top w:val="nil"/>
              <w:left w:val="nil"/>
              <w:bottom w:val="single" w:sz="4" w:space="0" w:color="auto"/>
              <w:right w:val="single" w:sz="4" w:space="0" w:color="auto"/>
            </w:tcBorders>
            <w:shd w:val="clear" w:color="auto" w:fill="auto"/>
            <w:noWrap/>
            <w:vAlign w:val="center"/>
            <w:hideMark/>
          </w:tcPr>
          <w:p w14:paraId="0C9DC35A" w14:textId="77777777" w:rsidR="00A37B53" w:rsidRPr="00A37B53" w:rsidRDefault="00A37B53" w:rsidP="00A37B53">
            <w:pPr>
              <w:spacing w:after="0" w:line="240" w:lineRule="auto"/>
              <w:rPr>
                <w:rFonts w:ascii="Times New Roman" w:eastAsia="Times New Roman" w:hAnsi="Times New Roman"/>
                <w:color w:val="000000"/>
                <w:sz w:val="20"/>
                <w:szCs w:val="20"/>
              </w:rPr>
            </w:pPr>
            <w:r>
              <w:rPr>
                <w:rFonts w:ascii="Times New Roman" w:hAnsi="Times New Roman"/>
                <w:color w:val="000000"/>
                <w:sz w:val="20"/>
              </w:rPr>
              <w:t>South</w:t>
            </w:r>
          </w:p>
        </w:tc>
        <w:tc>
          <w:tcPr>
            <w:tcW w:w="647" w:type="pct"/>
            <w:tcBorders>
              <w:top w:val="single" w:sz="4" w:space="0" w:color="auto"/>
              <w:left w:val="single" w:sz="4" w:space="0" w:color="auto"/>
              <w:bottom w:val="single" w:sz="4" w:space="0" w:color="auto"/>
              <w:right w:val="single" w:sz="4" w:space="0" w:color="auto"/>
            </w:tcBorders>
            <w:shd w:val="clear" w:color="000000" w:fill="FCFCFF"/>
            <w:noWrap/>
            <w:vAlign w:val="center"/>
            <w:hideMark/>
          </w:tcPr>
          <w:p w14:paraId="1B5C15DC" w14:textId="77777777" w:rsidR="00A37B53" w:rsidRPr="00A37B53" w:rsidRDefault="00A37B53" w:rsidP="00A37B53">
            <w:pPr>
              <w:spacing w:after="0" w:line="240" w:lineRule="auto"/>
              <w:jc w:val="center"/>
              <w:rPr>
                <w:rFonts w:ascii="Times New Roman" w:eastAsia="Times New Roman" w:hAnsi="Times New Roman"/>
                <w:color w:val="000000"/>
                <w:sz w:val="20"/>
                <w:szCs w:val="20"/>
              </w:rPr>
            </w:pPr>
            <w:r>
              <w:rPr>
                <w:rFonts w:ascii="Times New Roman" w:hAnsi="Times New Roman"/>
                <w:color w:val="000000"/>
                <w:sz w:val="20"/>
              </w:rPr>
              <w:t>0.6</w:t>
            </w:r>
          </w:p>
        </w:tc>
        <w:tc>
          <w:tcPr>
            <w:tcW w:w="647" w:type="pct"/>
            <w:tcBorders>
              <w:top w:val="single" w:sz="4" w:space="0" w:color="auto"/>
              <w:left w:val="single" w:sz="4" w:space="0" w:color="auto"/>
              <w:bottom w:val="single" w:sz="4" w:space="0" w:color="auto"/>
              <w:right w:val="single" w:sz="4" w:space="0" w:color="auto"/>
            </w:tcBorders>
            <w:shd w:val="clear" w:color="000000" w:fill="FBFCFE"/>
            <w:noWrap/>
            <w:vAlign w:val="center"/>
            <w:hideMark/>
          </w:tcPr>
          <w:p w14:paraId="36BF5B4F" w14:textId="77777777" w:rsidR="00A37B53" w:rsidRPr="00A37B53" w:rsidRDefault="00A37B53" w:rsidP="00A37B53">
            <w:pPr>
              <w:spacing w:after="0" w:line="240" w:lineRule="auto"/>
              <w:jc w:val="center"/>
              <w:rPr>
                <w:rFonts w:ascii="Times New Roman" w:eastAsia="Times New Roman" w:hAnsi="Times New Roman"/>
                <w:color w:val="000000"/>
                <w:sz w:val="20"/>
                <w:szCs w:val="20"/>
              </w:rPr>
            </w:pPr>
            <w:r>
              <w:rPr>
                <w:rFonts w:ascii="Times New Roman" w:hAnsi="Times New Roman"/>
                <w:color w:val="000000"/>
                <w:sz w:val="20"/>
              </w:rPr>
              <w:t>0.8</w:t>
            </w:r>
          </w:p>
        </w:tc>
        <w:tc>
          <w:tcPr>
            <w:tcW w:w="647" w:type="pct"/>
            <w:tcBorders>
              <w:top w:val="single" w:sz="4" w:space="0" w:color="auto"/>
              <w:left w:val="single" w:sz="4" w:space="0" w:color="auto"/>
              <w:bottom w:val="single" w:sz="4" w:space="0" w:color="auto"/>
              <w:right w:val="single" w:sz="4" w:space="0" w:color="auto"/>
            </w:tcBorders>
            <w:shd w:val="clear" w:color="000000" w:fill="F7FAFA"/>
            <w:noWrap/>
            <w:vAlign w:val="center"/>
            <w:hideMark/>
          </w:tcPr>
          <w:p w14:paraId="661EBCFD" w14:textId="77777777" w:rsidR="00A37B53" w:rsidRPr="00A37B53" w:rsidRDefault="00A37B53" w:rsidP="00A37B53">
            <w:pPr>
              <w:spacing w:after="0" w:line="240" w:lineRule="auto"/>
              <w:jc w:val="center"/>
              <w:rPr>
                <w:rFonts w:ascii="Times New Roman" w:eastAsia="Times New Roman" w:hAnsi="Times New Roman"/>
                <w:color w:val="000000"/>
                <w:sz w:val="20"/>
                <w:szCs w:val="20"/>
              </w:rPr>
            </w:pPr>
            <w:r>
              <w:rPr>
                <w:rFonts w:ascii="Times New Roman" w:hAnsi="Times New Roman"/>
                <w:color w:val="000000"/>
                <w:sz w:val="20"/>
              </w:rPr>
              <w:t>1.4</w:t>
            </w:r>
          </w:p>
        </w:tc>
        <w:tc>
          <w:tcPr>
            <w:tcW w:w="647" w:type="pct"/>
            <w:tcBorders>
              <w:top w:val="single" w:sz="4" w:space="0" w:color="auto"/>
              <w:left w:val="single" w:sz="4" w:space="0" w:color="auto"/>
              <w:bottom w:val="single" w:sz="4" w:space="0" w:color="auto"/>
              <w:right w:val="single" w:sz="4" w:space="0" w:color="auto"/>
            </w:tcBorders>
            <w:shd w:val="clear" w:color="000000" w:fill="8FD0A1"/>
            <w:noWrap/>
            <w:vAlign w:val="center"/>
            <w:hideMark/>
          </w:tcPr>
          <w:p w14:paraId="44452734" w14:textId="77777777" w:rsidR="00A37B53" w:rsidRPr="00A37B53" w:rsidRDefault="00A37B53" w:rsidP="00A37B53">
            <w:pPr>
              <w:spacing w:after="0" w:line="240" w:lineRule="auto"/>
              <w:jc w:val="center"/>
              <w:rPr>
                <w:rFonts w:ascii="Times New Roman" w:eastAsia="Times New Roman" w:hAnsi="Times New Roman"/>
                <w:color w:val="000000"/>
                <w:sz w:val="20"/>
                <w:szCs w:val="20"/>
              </w:rPr>
            </w:pPr>
            <w:r>
              <w:rPr>
                <w:rFonts w:ascii="Times New Roman" w:hAnsi="Times New Roman"/>
                <w:color w:val="000000"/>
                <w:sz w:val="20"/>
              </w:rPr>
              <w:t>15.6</w:t>
            </w:r>
          </w:p>
        </w:tc>
        <w:tc>
          <w:tcPr>
            <w:tcW w:w="647" w:type="pct"/>
            <w:tcBorders>
              <w:top w:val="single" w:sz="4" w:space="0" w:color="auto"/>
              <w:left w:val="single" w:sz="4" w:space="0" w:color="auto"/>
              <w:bottom w:val="single" w:sz="4" w:space="0" w:color="auto"/>
              <w:right w:val="nil"/>
            </w:tcBorders>
            <w:shd w:val="clear" w:color="000000" w:fill="FBFCFF"/>
            <w:noWrap/>
            <w:vAlign w:val="center"/>
            <w:hideMark/>
          </w:tcPr>
          <w:p w14:paraId="2BFDC1F2" w14:textId="77777777" w:rsidR="00A37B53" w:rsidRPr="00A37B53" w:rsidRDefault="00A37B53" w:rsidP="00A37B53">
            <w:pPr>
              <w:spacing w:after="0" w:line="240" w:lineRule="auto"/>
              <w:jc w:val="center"/>
              <w:rPr>
                <w:rFonts w:ascii="Times New Roman" w:eastAsia="Times New Roman" w:hAnsi="Times New Roman"/>
                <w:color w:val="000000"/>
                <w:sz w:val="20"/>
                <w:szCs w:val="20"/>
              </w:rPr>
            </w:pPr>
            <w:r>
              <w:rPr>
                <w:rFonts w:ascii="Times New Roman" w:hAnsi="Times New Roman"/>
                <w:color w:val="000000"/>
                <w:sz w:val="20"/>
              </w:rPr>
              <w:t>0.7</w:t>
            </w:r>
          </w:p>
        </w:tc>
      </w:tr>
      <w:tr w:rsidR="00A37B53" w:rsidRPr="00A37B53" w14:paraId="72B1D382" w14:textId="77777777" w:rsidTr="00385866">
        <w:trPr>
          <w:cantSplit/>
          <w:trHeight w:val="180"/>
          <w:jc w:val="center"/>
        </w:trPr>
        <w:tc>
          <w:tcPr>
            <w:tcW w:w="896" w:type="pct"/>
            <w:vMerge/>
            <w:tcBorders>
              <w:top w:val="nil"/>
              <w:left w:val="nil"/>
              <w:bottom w:val="single" w:sz="4" w:space="0" w:color="auto"/>
              <w:right w:val="single" w:sz="4" w:space="0" w:color="auto"/>
            </w:tcBorders>
            <w:vAlign w:val="center"/>
            <w:hideMark/>
          </w:tcPr>
          <w:p w14:paraId="236299D1" w14:textId="77777777" w:rsidR="00A37B53" w:rsidRPr="00A37B53" w:rsidRDefault="00A37B53" w:rsidP="00A37B53">
            <w:pPr>
              <w:spacing w:after="0" w:line="240" w:lineRule="auto"/>
              <w:rPr>
                <w:rFonts w:ascii="Times New Roman" w:eastAsia="Times New Roman" w:hAnsi="Times New Roman"/>
                <w:b/>
                <w:bCs/>
                <w:color w:val="000000"/>
                <w:sz w:val="20"/>
                <w:szCs w:val="20"/>
                <w:lang w:eastAsia="pt-BR"/>
              </w:rPr>
            </w:pPr>
          </w:p>
        </w:tc>
        <w:tc>
          <w:tcPr>
            <w:tcW w:w="869" w:type="pct"/>
            <w:tcBorders>
              <w:top w:val="nil"/>
              <w:left w:val="nil"/>
              <w:bottom w:val="single" w:sz="4" w:space="0" w:color="auto"/>
              <w:right w:val="single" w:sz="4" w:space="0" w:color="auto"/>
            </w:tcBorders>
            <w:shd w:val="clear" w:color="auto" w:fill="auto"/>
            <w:noWrap/>
            <w:vAlign w:val="center"/>
            <w:hideMark/>
          </w:tcPr>
          <w:p w14:paraId="18B3BCF2" w14:textId="241BF09E" w:rsidR="00A37B53" w:rsidRPr="00A37B53" w:rsidRDefault="00C03EC0" w:rsidP="00A37B53">
            <w:pPr>
              <w:spacing w:after="0" w:line="240" w:lineRule="auto"/>
              <w:rPr>
                <w:rFonts w:ascii="Times New Roman" w:eastAsia="Times New Roman" w:hAnsi="Times New Roman"/>
                <w:color w:val="000000"/>
                <w:sz w:val="20"/>
                <w:szCs w:val="20"/>
              </w:rPr>
            </w:pPr>
            <w:r>
              <w:rPr>
                <w:rFonts w:ascii="Times New Roman" w:hAnsi="Times New Roman"/>
                <w:color w:val="000000"/>
                <w:sz w:val="20"/>
              </w:rPr>
              <w:t>Midwest</w:t>
            </w:r>
          </w:p>
        </w:tc>
        <w:tc>
          <w:tcPr>
            <w:tcW w:w="647" w:type="pct"/>
            <w:tcBorders>
              <w:top w:val="single" w:sz="4" w:space="0" w:color="auto"/>
              <w:left w:val="single" w:sz="4" w:space="0" w:color="auto"/>
              <w:bottom w:val="single" w:sz="4" w:space="0" w:color="auto"/>
              <w:right w:val="single" w:sz="4" w:space="0" w:color="auto"/>
            </w:tcBorders>
            <w:shd w:val="clear" w:color="000000" w:fill="F9FBFD"/>
            <w:noWrap/>
            <w:vAlign w:val="center"/>
            <w:hideMark/>
          </w:tcPr>
          <w:p w14:paraId="42645779" w14:textId="77777777" w:rsidR="00A37B53" w:rsidRPr="00A37B53" w:rsidRDefault="00A37B53" w:rsidP="00A37B53">
            <w:pPr>
              <w:spacing w:after="0" w:line="240" w:lineRule="auto"/>
              <w:jc w:val="center"/>
              <w:rPr>
                <w:rFonts w:ascii="Times New Roman" w:eastAsia="Times New Roman" w:hAnsi="Times New Roman"/>
                <w:color w:val="000000"/>
                <w:sz w:val="20"/>
                <w:szCs w:val="20"/>
              </w:rPr>
            </w:pPr>
            <w:r>
              <w:rPr>
                <w:rFonts w:ascii="Times New Roman" w:hAnsi="Times New Roman"/>
                <w:color w:val="000000"/>
                <w:sz w:val="20"/>
              </w:rPr>
              <w:t>1.0</w:t>
            </w:r>
          </w:p>
        </w:tc>
        <w:tc>
          <w:tcPr>
            <w:tcW w:w="647" w:type="pct"/>
            <w:tcBorders>
              <w:top w:val="single" w:sz="4" w:space="0" w:color="auto"/>
              <w:left w:val="single" w:sz="4" w:space="0" w:color="auto"/>
              <w:bottom w:val="single" w:sz="4" w:space="0" w:color="auto"/>
              <w:right w:val="single" w:sz="4" w:space="0" w:color="auto"/>
            </w:tcBorders>
            <w:shd w:val="clear" w:color="000000" w:fill="F7FAFB"/>
            <w:noWrap/>
            <w:vAlign w:val="center"/>
            <w:hideMark/>
          </w:tcPr>
          <w:p w14:paraId="1E7C8258" w14:textId="77777777" w:rsidR="00A37B53" w:rsidRPr="00A37B53" w:rsidRDefault="00A37B53" w:rsidP="00A37B53">
            <w:pPr>
              <w:spacing w:after="0" w:line="240" w:lineRule="auto"/>
              <w:jc w:val="center"/>
              <w:rPr>
                <w:rFonts w:ascii="Times New Roman" w:eastAsia="Times New Roman" w:hAnsi="Times New Roman"/>
                <w:color w:val="000000"/>
                <w:sz w:val="20"/>
                <w:szCs w:val="20"/>
              </w:rPr>
            </w:pPr>
            <w:r>
              <w:rPr>
                <w:rFonts w:ascii="Times New Roman" w:hAnsi="Times New Roman"/>
                <w:color w:val="000000"/>
                <w:sz w:val="20"/>
              </w:rPr>
              <w:t>1.3</w:t>
            </w:r>
          </w:p>
        </w:tc>
        <w:tc>
          <w:tcPr>
            <w:tcW w:w="647" w:type="pct"/>
            <w:tcBorders>
              <w:top w:val="single" w:sz="4" w:space="0" w:color="auto"/>
              <w:left w:val="single" w:sz="4" w:space="0" w:color="auto"/>
              <w:bottom w:val="single" w:sz="4" w:space="0" w:color="auto"/>
              <w:right w:val="single" w:sz="4" w:space="0" w:color="auto"/>
            </w:tcBorders>
            <w:shd w:val="clear" w:color="000000" w:fill="F9FBFC"/>
            <w:noWrap/>
            <w:vAlign w:val="center"/>
            <w:hideMark/>
          </w:tcPr>
          <w:p w14:paraId="29A12517" w14:textId="77777777" w:rsidR="00A37B53" w:rsidRPr="00A37B53" w:rsidRDefault="00A37B53" w:rsidP="00A37B53">
            <w:pPr>
              <w:spacing w:after="0" w:line="240" w:lineRule="auto"/>
              <w:jc w:val="center"/>
              <w:rPr>
                <w:rFonts w:ascii="Times New Roman" w:eastAsia="Times New Roman" w:hAnsi="Times New Roman"/>
                <w:color w:val="000000"/>
                <w:sz w:val="20"/>
                <w:szCs w:val="20"/>
              </w:rPr>
            </w:pPr>
            <w:r>
              <w:rPr>
                <w:rFonts w:ascii="Times New Roman" w:hAnsi="Times New Roman"/>
                <w:color w:val="000000"/>
                <w:sz w:val="20"/>
              </w:rPr>
              <w:t>1.1</w:t>
            </w:r>
          </w:p>
        </w:tc>
        <w:tc>
          <w:tcPr>
            <w:tcW w:w="647" w:type="pct"/>
            <w:tcBorders>
              <w:top w:val="single" w:sz="4" w:space="0" w:color="auto"/>
              <w:left w:val="single" w:sz="4" w:space="0" w:color="auto"/>
              <w:bottom w:val="single" w:sz="4" w:space="0" w:color="auto"/>
              <w:right w:val="single" w:sz="4" w:space="0" w:color="auto"/>
            </w:tcBorders>
            <w:shd w:val="clear" w:color="000000" w:fill="F6FAFA"/>
            <w:noWrap/>
            <w:vAlign w:val="center"/>
            <w:hideMark/>
          </w:tcPr>
          <w:p w14:paraId="2618A2E6" w14:textId="77777777" w:rsidR="00A37B53" w:rsidRPr="00A37B53" w:rsidRDefault="00A37B53" w:rsidP="00A37B53">
            <w:pPr>
              <w:spacing w:after="0" w:line="240" w:lineRule="auto"/>
              <w:jc w:val="center"/>
              <w:rPr>
                <w:rFonts w:ascii="Times New Roman" w:eastAsia="Times New Roman" w:hAnsi="Times New Roman"/>
                <w:color w:val="000000"/>
                <w:sz w:val="20"/>
                <w:szCs w:val="20"/>
              </w:rPr>
            </w:pPr>
            <w:r>
              <w:rPr>
                <w:rFonts w:ascii="Times New Roman" w:hAnsi="Times New Roman"/>
                <w:color w:val="000000"/>
                <w:sz w:val="20"/>
              </w:rPr>
              <w:t>1.5</w:t>
            </w:r>
          </w:p>
        </w:tc>
        <w:tc>
          <w:tcPr>
            <w:tcW w:w="647" w:type="pct"/>
            <w:tcBorders>
              <w:top w:val="single" w:sz="4" w:space="0" w:color="auto"/>
              <w:left w:val="single" w:sz="4" w:space="0" w:color="auto"/>
              <w:bottom w:val="single" w:sz="4" w:space="0" w:color="auto"/>
              <w:right w:val="nil"/>
            </w:tcBorders>
            <w:shd w:val="clear" w:color="000000" w:fill="7FCA93"/>
            <w:noWrap/>
            <w:vAlign w:val="center"/>
            <w:hideMark/>
          </w:tcPr>
          <w:p w14:paraId="1A2E063B" w14:textId="77777777" w:rsidR="00A37B53" w:rsidRPr="00A37B53" w:rsidRDefault="00A37B53" w:rsidP="00A37B53">
            <w:pPr>
              <w:spacing w:after="0" w:line="240" w:lineRule="auto"/>
              <w:jc w:val="center"/>
              <w:rPr>
                <w:rFonts w:ascii="Times New Roman" w:eastAsia="Times New Roman" w:hAnsi="Times New Roman"/>
                <w:color w:val="000000"/>
                <w:sz w:val="20"/>
                <w:szCs w:val="20"/>
              </w:rPr>
            </w:pPr>
            <w:r>
              <w:rPr>
                <w:rFonts w:ascii="Times New Roman" w:hAnsi="Times New Roman"/>
                <w:color w:val="000000"/>
                <w:sz w:val="20"/>
              </w:rPr>
              <w:t>17.9</w:t>
            </w:r>
          </w:p>
        </w:tc>
      </w:tr>
      <w:tr w:rsidR="00A37B53" w:rsidRPr="00A37B53" w14:paraId="47BD1158" w14:textId="77777777" w:rsidTr="00385866">
        <w:trPr>
          <w:cantSplit/>
          <w:trHeight w:val="180"/>
          <w:jc w:val="center"/>
        </w:trPr>
        <w:tc>
          <w:tcPr>
            <w:tcW w:w="896" w:type="pct"/>
            <w:vMerge/>
            <w:tcBorders>
              <w:top w:val="nil"/>
              <w:left w:val="nil"/>
              <w:bottom w:val="single" w:sz="4" w:space="0" w:color="auto"/>
              <w:right w:val="single" w:sz="4" w:space="0" w:color="auto"/>
            </w:tcBorders>
            <w:vAlign w:val="center"/>
            <w:hideMark/>
          </w:tcPr>
          <w:p w14:paraId="2B0C0668" w14:textId="77777777" w:rsidR="00A37B53" w:rsidRPr="00A37B53" w:rsidRDefault="00A37B53" w:rsidP="00A37B53">
            <w:pPr>
              <w:spacing w:after="0" w:line="240" w:lineRule="auto"/>
              <w:rPr>
                <w:rFonts w:ascii="Times New Roman" w:eastAsia="Times New Roman" w:hAnsi="Times New Roman"/>
                <w:b/>
                <w:bCs/>
                <w:color w:val="000000"/>
                <w:sz w:val="20"/>
                <w:szCs w:val="20"/>
                <w:lang w:eastAsia="pt-BR"/>
              </w:rPr>
            </w:pPr>
          </w:p>
        </w:tc>
        <w:tc>
          <w:tcPr>
            <w:tcW w:w="869" w:type="pct"/>
            <w:tcBorders>
              <w:top w:val="nil"/>
              <w:left w:val="nil"/>
              <w:bottom w:val="single" w:sz="4" w:space="0" w:color="auto"/>
              <w:right w:val="single" w:sz="4" w:space="0" w:color="auto"/>
            </w:tcBorders>
            <w:shd w:val="clear" w:color="auto" w:fill="auto"/>
            <w:noWrap/>
            <w:vAlign w:val="center"/>
            <w:hideMark/>
          </w:tcPr>
          <w:p w14:paraId="075E9814" w14:textId="77777777" w:rsidR="00A37B53" w:rsidRPr="00A37B53" w:rsidRDefault="00A37B53" w:rsidP="00A37B53">
            <w:pPr>
              <w:spacing w:after="0" w:line="240" w:lineRule="auto"/>
              <w:rPr>
                <w:rFonts w:ascii="Times New Roman" w:eastAsia="Times New Roman" w:hAnsi="Times New Roman"/>
                <w:b/>
                <w:bCs/>
                <w:color w:val="000000"/>
                <w:sz w:val="20"/>
                <w:szCs w:val="20"/>
              </w:rPr>
            </w:pPr>
            <w:r>
              <w:rPr>
                <w:rFonts w:ascii="Times New Roman" w:hAnsi="Times New Roman"/>
                <w:b/>
                <w:color w:val="000000"/>
                <w:sz w:val="20"/>
              </w:rPr>
              <w:t>Total</w:t>
            </w:r>
          </w:p>
        </w:tc>
        <w:tc>
          <w:tcPr>
            <w:tcW w:w="647" w:type="pct"/>
            <w:tcBorders>
              <w:top w:val="single" w:sz="4" w:space="0" w:color="auto"/>
              <w:left w:val="single" w:sz="4" w:space="0" w:color="auto"/>
              <w:bottom w:val="single" w:sz="4" w:space="0" w:color="auto"/>
              <w:right w:val="single" w:sz="4" w:space="0" w:color="auto"/>
            </w:tcBorders>
            <w:shd w:val="clear" w:color="000000" w:fill="73C589"/>
            <w:noWrap/>
            <w:vAlign w:val="center"/>
            <w:hideMark/>
          </w:tcPr>
          <w:p w14:paraId="52FCF801" w14:textId="77777777" w:rsidR="00A37B53" w:rsidRPr="00A37B53" w:rsidRDefault="00A37B53" w:rsidP="00A37B53">
            <w:pPr>
              <w:spacing w:after="0" w:line="240" w:lineRule="auto"/>
              <w:jc w:val="center"/>
              <w:rPr>
                <w:rFonts w:ascii="Times New Roman" w:eastAsia="Times New Roman" w:hAnsi="Times New Roman"/>
                <w:b/>
                <w:bCs/>
                <w:color w:val="000000"/>
                <w:sz w:val="20"/>
                <w:szCs w:val="20"/>
              </w:rPr>
            </w:pPr>
            <w:r>
              <w:rPr>
                <w:rFonts w:ascii="Times New Roman" w:hAnsi="Times New Roman"/>
                <w:b/>
                <w:color w:val="000000"/>
                <w:sz w:val="20"/>
              </w:rPr>
              <w:t>27.2</w:t>
            </w:r>
          </w:p>
        </w:tc>
        <w:tc>
          <w:tcPr>
            <w:tcW w:w="647" w:type="pct"/>
            <w:tcBorders>
              <w:top w:val="single" w:sz="4" w:space="0" w:color="auto"/>
              <w:left w:val="single" w:sz="4" w:space="0" w:color="auto"/>
              <w:bottom w:val="single" w:sz="4" w:space="0" w:color="auto"/>
              <w:right w:val="single" w:sz="4" w:space="0" w:color="auto"/>
            </w:tcBorders>
            <w:shd w:val="clear" w:color="000000" w:fill="FCFCFF"/>
            <w:noWrap/>
            <w:vAlign w:val="center"/>
            <w:hideMark/>
          </w:tcPr>
          <w:p w14:paraId="4DC315CE" w14:textId="77777777" w:rsidR="00A37B53" w:rsidRPr="00A37B53" w:rsidRDefault="00A37B53" w:rsidP="00A37B53">
            <w:pPr>
              <w:spacing w:after="0" w:line="240" w:lineRule="auto"/>
              <w:jc w:val="center"/>
              <w:rPr>
                <w:rFonts w:ascii="Times New Roman" w:eastAsia="Times New Roman" w:hAnsi="Times New Roman"/>
                <w:b/>
                <w:bCs/>
                <w:color w:val="000000"/>
                <w:sz w:val="20"/>
                <w:szCs w:val="20"/>
              </w:rPr>
            </w:pPr>
            <w:r>
              <w:rPr>
                <w:rFonts w:ascii="Times New Roman" w:hAnsi="Times New Roman"/>
                <w:b/>
                <w:color w:val="000000"/>
                <w:sz w:val="20"/>
              </w:rPr>
              <w:t>24.7</w:t>
            </w:r>
          </w:p>
        </w:tc>
        <w:tc>
          <w:tcPr>
            <w:tcW w:w="647" w:type="pct"/>
            <w:tcBorders>
              <w:top w:val="single" w:sz="4" w:space="0" w:color="auto"/>
              <w:left w:val="single" w:sz="4" w:space="0" w:color="auto"/>
              <w:bottom w:val="single" w:sz="4" w:space="0" w:color="auto"/>
              <w:right w:val="single" w:sz="4" w:space="0" w:color="auto"/>
            </w:tcBorders>
            <w:shd w:val="clear" w:color="000000" w:fill="CCE9D6"/>
            <w:noWrap/>
            <w:vAlign w:val="center"/>
            <w:hideMark/>
          </w:tcPr>
          <w:p w14:paraId="502858B3" w14:textId="77777777" w:rsidR="00A37B53" w:rsidRPr="00A37B53" w:rsidRDefault="00A37B53" w:rsidP="00A37B53">
            <w:pPr>
              <w:spacing w:after="0" w:line="240" w:lineRule="auto"/>
              <w:jc w:val="center"/>
              <w:rPr>
                <w:rFonts w:ascii="Times New Roman" w:eastAsia="Times New Roman" w:hAnsi="Times New Roman"/>
                <w:b/>
                <w:bCs/>
                <w:color w:val="000000"/>
                <w:sz w:val="20"/>
                <w:szCs w:val="20"/>
              </w:rPr>
            </w:pPr>
            <w:r>
              <w:rPr>
                <w:rFonts w:ascii="Times New Roman" w:hAnsi="Times New Roman"/>
                <w:b/>
                <w:color w:val="000000"/>
                <w:sz w:val="20"/>
              </w:rPr>
              <w:t>25.6</w:t>
            </w:r>
          </w:p>
        </w:tc>
        <w:tc>
          <w:tcPr>
            <w:tcW w:w="647" w:type="pct"/>
            <w:tcBorders>
              <w:top w:val="single" w:sz="4" w:space="0" w:color="auto"/>
              <w:left w:val="single" w:sz="4" w:space="0" w:color="auto"/>
              <w:bottom w:val="single" w:sz="4" w:space="0" w:color="auto"/>
              <w:right w:val="single" w:sz="4" w:space="0" w:color="auto"/>
            </w:tcBorders>
            <w:shd w:val="clear" w:color="000000" w:fill="A4D9B3"/>
            <w:noWrap/>
            <w:vAlign w:val="center"/>
            <w:hideMark/>
          </w:tcPr>
          <w:p w14:paraId="36DFB534" w14:textId="77777777" w:rsidR="00A37B53" w:rsidRPr="00A37B53" w:rsidRDefault="00A37B53" w:rsidP="00A37B53">
            <w:pPr>
              <w:spacing w:after="0" w:line="240" w:lineRule="auto"/>
              <w:jc w:val="center"/>
              <w:rPr>
                <w:rFonts w:ascii="Times New Roman" w:eastAsia="Times New Roman" w:hAnsi="Times New Roman"/>
                <w:b/>
                <w:bCs/>
                <w:color w:val="000000"/>
                <w:sz w:val="20"/>
                <w:szCs w:val="20"/>
              </w:rPr>
            </w:pPr>
            <w:r>
              <w:rPr>
                <w:rFonts w:ascii="Times New Roman" w:hAnsi="Times New Roman"/>
                <w:b/>
                <w:color w:val="000000"/>
                <w:sz w:val="20"/>
              </w:rPr>
              <w:t>26.3</w:t>
            </w:r>
          </w:p>
        </w:tc>
        <w:tc>
          <w:tcPr>
            <w:tcW w:w="647" w:type="pct"/>
            <w:tcBorders>
              <w:top w:val="single" w:sz="4" w:space="0" w:color="auto"/>
              <w:left w:val="single" w:sz="4" w:space="0" w:color="auto"/>
              <w:bottom w:val="single" w:sz="4" w:space="0" w:color="auto"/>
              <w:right w:val="nil"/>
            </w:tcBorders>
            <w:shd w:val="clear" w:color="000000" w:fill="63BE7B"/>
            <w:noWrap/>
            <w:vAlign w:val="center"/>
            <w:hideMark/>
          </w:tcPr>
          <w:p w14:paraId="3F374E21" w14:textId="77777777" w:rsidR="00A37B53" w:rsidRPr="00A37B53" w:rsidRDefault="00A37B53" w:rsidP="00A37B53">
            <w:pPr>
              <w:spacing w:after="0" w:line="240" w:lineRule="auto"/>
              <w:jc w:val="center"/>
              <w:rPr>
                <w:rFonts w:ascii="Times New Roman" w:eastAsia="Times New Roman" w:hAnsi="Times New Roman"/>
                <w:b/>
                <w:bCs/>
                <w:color w:val="000000"/>
                <w:sz w:val="20"/>
                <w:szCs w:val="20"/>
              </w:rPr>
            </w:pPr>
            <w:r>
              <w:rPr>
                <w:rFonts w:ascii="Times New Roman" w:hAnsi="Times New Roman"/>
                <w:b/>
                <w:color w:val="000000"/>
                <w:sz w:val="20"/>
              </w:rPr>
              <w:t>27.5</w:t>
            </w:r>
          </w:p>
        </w:tc>
      </w:tr>
      <w:tr w:rsidR="00A37B53" w:rsidRPr="00A37B53" w14:paraId="22B2BF6F" w14:textId="77777777" w:rsidTr="00385866">
        <w:trPr>
          <w:cantSplit/>
          <w:trHeight w:val="180"/>
          <w:jc w:val="center"/>
        </w:trPr>
        <w:tc>
          <w:tcPr>
            <w:tcW w:w="896" w:type="pct"/>
            <w:vMerge w:val="restart"/>
            <w:tcBorders>
              <w:top w:val="nil"/>
              <w:left w:val="nil"/>
              <w:bottom w:val="single" w:sz="4" w:space="0" w:color="auto"/>
              <w:right w:val="single" w:sz="4" w:space="0" w:color="auto"/>
            </w:tcBorders>
            <w:shd w:val="clear" w:color="auto" w:fill="auto"/>
            <w:vAlign w:val="center"/>
            <w:hideMark/>
          </w:tcPr>
          <w:p w14:paraId="3B4F3024" w14:textId="77777777" w:rsidR="00A37B53" w:rsidRPr="00A37B53" w:rsidRDefault="00A37B53" w:rsidP="00A37B53">
            <w:pPr>
              <w:spacing w:after="0" w:line="240" w:lineRule="auto"/>
              <w:rPr>
                <w:rFonts w:ascii="Times New Roman" w:eastAsia="Times New Roman" w:hAnsi="Times New Roman"/>
                <w:b/>
                <w:bCs/>
                <w:color w:val="000000"/>
                <w:sz w:val="20"/>
                <w:szCs w:val="20"/>
              </w:rPr>
            </w:pPr>
            <w:r>
              <w:rPr>
                <w:rFonts w:ascii="Times New Roman" w:hAnsi="Times New Roman"/>
                <w:b/>
                <w:color w:val="000000"/>
                <w:sz w:val="20"/>
              </w:rPr>
              <w:t>Occupations**</w:t>
            </w:r>
          </w:p>
        </w:tc>
        <w:tc>
          <w:tcPr>
            <w:tcW w:w="869" w:type="pct"/>
            <w:tcBorders>
              <w:top w:val="nil"/>
              <w:left w:val="nil"/>
              <w:bottom w:val="single" w:sz="4" w:space="0" w:color="auto"/>
              <w:right w:val="single" w:sz="4" w:space="0" w:color="auto"/>
            </w:tcBorders>
            <w:shd w:val="clear" w:color="auto" w:fill="auto"/>
            <w:noWrap/>
            <w:vAlign w:val="center"/>
            <w:hideMark/>
          </w:tcPr>
          <w:p w14:paraId="67F6A061" w14:textId="77777777" w:rsidR="00A37B53" w:rsidRPr="00A37B53" w:rsidRDefault="00A37B53" w:rsidP="00A37B53">
            <w:pPr>
              <w:spacing w:after="0" w:line="240" w:lineRule="auto"/>
              <w:rPr>
                <w:rFonts w:ascii="Times New Roman" w:eastAsia="Times New Roman" w:hAnsi="Times New Roman"/>
                <w:color w:val="000000"/>
                <w:sz w:val="20"/>
                <w:szCs w:val="20"/>
              </w:rPr>
            </w:pPr>
            <w:r>
              <w:rPr>
                <w:rFonts w:ascii="Times New Roman" w:hAnsi="Times New Roman"/>
                <w:color w:val="000000"/>
                <w:sz w:val="20"/>
              </w:rPr>
              <w:t>North</w:t>
            </w:r>
          </w:p>
        </w:tc>
        <w:tc>
          <w:tcPr>
            <w:tcW w:w="647" w:type="pct"/>
            <w:tcBorders>
              <w:top w:val="single" w:sz="4" w:space="0" w:color="auto"/>
              <w:left w:val="single" w:sz="4" w:space="0" w:color="auto"/>
              <w:bottom w:val="single" w:sz="4" w:space="0" w:color="auto"/>
              <w:right w:val="single" w:sz="4" w:space="0" w:color="auto"/>
            </w:tcBorders>
            <w:shd w:val="clear" w:color="000000" w:fill="A1D8B1"/>
            <w:noWrap/>
            <w:vAlign w:val="center"/>
            <w:hideMark/>
          </w:tcPr>
          <w:p w14:paraId="7B739821" w14:textId="77777777" w:rsidR="00A37B53" w:rsidRPr="00A37B53" w:rsidRDefault="00A37B53" w:rsidP="00A37B53">
            <w:pPr>
              <w:spacing w:after="0" w:line="240" w:lineRule="auto"/>
              <w:jc w:val="center"/>
              <w:rPr>
                <w:rFonts w:ascii="Times New Roman" w:eastAsia="Times New Roman" w:hAnsi="Times New Roman"/>
                <w:color w:val="000000"/>
                <w:sz w:val="20"/>
                <w:szCs w:val="20"/>
              </w:rPr>
            </w:pPr>
            <w:r>
              <w:rPr>
                <w:rFonts w:ascii="Times New Roman" w:hAnsi="Times New Roman"/>
                <w:color w:val="000000"/>
                <w:sz w:val="20"/>
              </w:rPr>
              <w:t>93.4</w:t>
            </w:r>
          </w:p>
        </w:tc>
        <w:tc>
          <w:tcPr>
            <w:tcW w:w="647" w:type="pct"/>
            <w:tcBorders>
              <w:top w:val="single" w:sz="4" w:space="0" w:color="auto"/>
              <w:left w:val="single" w:sz="4" w:space="0" w:color="auto"/>
              <w:bottom w:val="single" w:sz="4" w:space="0" w:color="auto"/>
              <w:right w:val="single" w:sz="4" w:space="0" w:color="auto"/>
            </w:tcBorders>
            <w:shd w:val="clear" w:color="000000" w:fill="FAFBFD"/>
            <w:noWrap/>
            <w:vAlign w:val="center"/>
            <w:hideMark/>
          </w:tcPr>
          <w:p w14:paraId="1CA02399" w14:textId="77777777" w:rsidR="00A37B53" w:rsidRPr="00A37B53" w:rsidRDefault="00A37B53" w:rsidP="00A37B53">
            <w:pPr>
              <w:spacing w:after="0" w:line="240" w:lineRule="auto"/>
              <w:jc w:val="center"/>
              <w:rPr>
                <w:rFonts w:ascii="Times New Roman" w:eastAsia="Times New Roman" w:hAnsi="Times New Roman"/>
                <w:color w:val="000000"/>
                <w:sz w:val="20"/>
                <w:szCs w:val="20"/>
              </w:rPr>
            </w:pPr>
            <w:r>
              <w:rPr>
                <w:rFonts w:ascii="Times New Roman" w:hAnsi="Times New Roman"/>
                <w:color w:val="000000"/>
                <w:sz w:val="20"/>
              </w:rPr>
              <w:t>7.7</w:t>
            </w:r>
          </w:p>
        </w:tc>
        <w:tc>
          <w:tcPr>
            <w:tcW w:w="647" w:type="pct"/>
            <w:tcBorders>
              <w:top w:val="single" w:sz="4" w:space="0" w:color="auto"/>
              <w:left w:val="single" w:sz="4" w:space="0" w:color="auto"/>
              <w:bottom w:val="single" w:sz="4" w:space="0" w:color="auto"/>
              <w:right w:val="single" w:sz="4" w:space="0" w:color="auto"/>
            </w:tcBorders>
            <w:shd w:val="clear" w:color="000000" w:fill="FBFCFE"/>
            <w:noWrap/>
            <w:vAlign w:val="center"/>
            <w:hideMark/>
          </w:tcPr>
          <w:p w14:paraId="468276EE" w14:textId="77777777" w:rsidR="00A37B53" w:rsidRPr="00A37B53" w:rsidRDefault="00A37B53" w:rsidP="00A37B53">
            <w:pPr>
              <w:spacing w:after="0" w:line="240" w:lineRule="auto"/>
              <w:jc w:val="center"/>
              <w:rPr>
                <w:rFonts w:ascii="Times New Roman" w:eastAsia="Times New Roman" w:hAnsi="Times New Roman"/>
                <w:color w:val="000000"/>
                <w:sz w:val="20"/>
                <w:szCs w:val="20"/>
              </w:rPr>
            </w:pPr>
            <w:r>
              <w:rPr>
                <w:rFonts w:ascii="Times New Roman" w:hAnsi="Times New Roman"/>
                <w:color w:val="000000"/>
                <w:sz w:val="20"/>
              </w:rPr>
              <w:t>6.3</w:t>
            </w:r>
          </w:p>
        </w:tc>
        <w:tc>
          <w:tcPr>
            <w:tcW w:w="647" w:type="pct"/>
            <w:tcBorders>
              <w:top w:val="single" w:sz="4" w:space="0" w:color="auto"/>
              <w:left w:val="single" w:sz="4" w:space="0" w:color="auto"/>
              <w:bottom w:val="single" w:sz="4" w:space="0" w:color="auto"/>
              <w:right w:val="single" w:sz="4" w:space="0" w:color="auto"/>
            </w:tcBorders>
            <w:shd w:val="clear" w:color="000000" w:fill="FCFCFF"/>
            <w:noWrap/>
            <w:vAlign w:val="center"/>
            <w:hideMark/>
          </w:tcPr>
          <w:p w14:paraId="161953D7" w14:textId="77777777" w:rsidR="00A37B53" w:rsidRPr="00A37B53" w:rsidRDefault="00A37B53" w:rsidP="00A37B53">
            <w:pPr>
              <w:spacing w:after="0" w:line="240" w:lineRule="auto"/>
              <w:jc w:val="center"/>
              <w:rPr>
                <w:rFonts w:ascii="Times New Roman" w:eastAsia="Times New Roman" w:hAnsi="Times New Roman"/>
                <w:color w:val="000000"/>
                <w:sz w:val="20"/>
                <w:szCs w:val="20"/>
              </w:rPr>
            </w:pPr>
            <w:r>
              <w:rPr>
                <w:rFonts w:ascii="Times New Roman" w:hAnsi="Times New Roman"/>
                <w:color w:val="000000"/>
                <w:sz w:val="20"/>
              </w:rPr>
              <w:t>4.8</w:t>
            </w:r>
          </w:p>
        </w:tc>
        <w:tc>
          <w:tcPr>
            <w:tcW w:w="647" w:type="pct"/>
            <w:tcBorders>
              <w:top w:val="single" w:sz="4" w:space="0" w:color="auto"/>
              <w:left w:val="single" w:sz="4" w:space="0" w:color="auto"/>
              <w:bottom w:val="single" w:sz="4" w:space="0" w:color="auto"/>
              <w:right w:val="nil"/>
            </w:tcBorders>
            <w:shd w:val="clear" w:color="000000" w:fill="FBFCFF"/>
            <w:noWrap/>
            <w:vAlign w:val="center"/>
            <w:hideMark/>
          </w:tcPr>
          <w:p w14:paraId="64B22E9A" w14:textId="77777777" w:rsidR="00A37B53" w:rsidRPr="00A37B53" w:rsidRDefault="00A37B53" w:rsidP="00A37B53">
            <w:pPr>
              <w:spacing w:after="0" w:line="240" w:lineRule="auto"/>
              <w:jc w:val="center"/>
              <w:rPr>
                <w:rFonts w:ascii="Times New Roman" w:eastAsia="Times New Roman" w:hAnsi="Times New Roman"/>
                <w:color w:val="000000"/>
                <w:sz w:val="20"/>
                <w:szCs w:val="20"/>
              </w:rPr>
            </w:pPr>
            <w:r>
              <w:rPr>
                <w:rFonts w:ascii="Times New Roman" w:hAnsi="Times New Roman"/>
                <w:color w:val="000000"/>
                <w:sz w:val="20"/>
              </w:rPr>
              <w:t>5.9</w:t>
            </w:r>
          </w:p>
        </w:tc>
      </w:tr>
      <w:tr w:rsidR="00A37B53" w:rsidRPr="00A37B53" w14:paraId="605D993B" w14:textId="77777777" w:rsidTr="00385866">
        <w:trPr>
          <w:cantSplit/>
          <w:trHeight w:val="180"/>
          <w:jc w:val="center"/>
        </w:trPr>
        <w:tc>
          <w:tcPr>
            <w:tcW w:w="896" w:type="pct"/>
            <w:vMerge/>
            <w:tcBorders>
              <w:top w:val="nil"/>
              <w:left w:val="nil"/>
              <w:bottom w:val="single" w:sz="4" w:space="0" w:color="auto"/>
              <w:right w:val="single" w:sz="4" w:space="0" w:color="auto"/>
            </w:tcBorders>
            <w:vAlign w:val="center"/>
            <w:hideMark/>
          </w:tcPr>
          <w:p w14:paraId="3E66D7F8" w14:textId="77777777" w:rsidR="00A37B53" w:rsidRPr="00A37B53" w:rsidRDefault="00A37B53" w:rsidP="00A37B53">
            <w:pPr>
              <w:spacing w:after="0" w:line="240" w:lineRule="auto"/>
              <w:rPr>
                <w:rFonts w:ascii="Times New Roman" w:eastAsia="Times New Roman" w:hAnsi="Times New Roman"/>
                <w:b/>
                <w:bCs/>
                <w:color w:val="000000"/>
                <w:sz w:val="20"/>
                <w:szCs w:val="20"/>
                <w:lang w:eastAsia="pt-BR"/>
              </w:rPr>
            </w:pPr>
          </w:p>
        </w:tc>
        <w:tc>
          <w:tcPr>
            <w:tcW w:w="869" w:type="pct"/>
            <w:tcBorders>
              <w:top w:val="nil"/>
              <w:left w:val="nil"/>
              <w:bottom w:val="single" w:sz="4" w:space="0" w:color="auto"/>
              <w:right w:val="single" w:sz="4" w:space="0" w:color="auto"/>
            </w:tcBorders>
            <w:shd w:val="clear" w:color="auto" w:fill="auto"/>
            <w:noWrap/>
            <w:vAlign w:val="center"/>
            <w:hideMark/>
          </w:tcPr>
          <w:p w14:paraId="0A782C59" w14:textId="77777777" w:rsidR="00A37B53" w:rsidRPr="00A37B53" w:rsidRDefault="00A37B53" w:rsidP="00A37B53">
            <w:pPr>
              <w:spacing w:after="0" w:line="240" w:lineRule="auto"/>
              <w:rPr>
                <w:rFonts w:ascii="Times New Roman" w:eastAsia="Times New Roman" w:hAnsi="Times New Roman"/>
                <w:color w:val="000000"/>
                <w:sz w:val="20"/>
                <w:szCs w:val="20"/>
              </w:rPr>
            </w:pPr>
            <w:r>
              <w:rPr>
                <w:rFonts w:ascii="Times New Roman" w:hAnsi="Times New Roman"/>
                <w:color w:val="000000"/>
                <w:sz w:val="20"/>
              </w:rPr>
              <w:t>Northeast</w:t>
            </w:r>
          </w:p>
        </w:tc>
        <w:tc>
          <w:tcPr>
            <w:tcW w:w="647" w:type="pct"/>
            <w:tcBorders>
              <w:top w:val="single" w:sz="4" w:space="0" w:color="auto"/>
              <w:left w:val="single" w:sz="4" w:space="0" w:color="auto"/>
              <w:bottom w:val="single" w:sz="4" w:space="0" w:color="auto"/>
              <w:right w:val="single" w:sz="4" w:space="0" w:color="auto"/>
            </w:tcBorders>
            <w:shd w:val="clear" w:color="000000" w:fill="F3F9F7"/>
            <w:noWrap/>
            <w:vAlign w:val="center"/>
            <w:hideMark/>
          </w:tcPr>
          <w:p w14:paraId="3F4A1159" w14:textId="77777777" w:rsidR="00A37B53" w:rsidRPr="00A37B53" w:rsidRDefault="00A37B53" w:rsidP="00A37B53">
            <w:pPr>
              <w:spacing w:after="0" w:line="240" w:lineRule="auto"/>
              <w:jc w:val="center"/>
              <w:rPr>
                <w:rFonts w:ascii="Times New Roman" w:eastAsia="Times New Roman" w:hAnsi="Times New Roman"/>
                <w:color w:val="000000"/>
                <w:sz w:val="20"/>
                <w:szCs w:val="20"/>
              </w:rPr>
            </w:pPr>
            <w:r>
              <w:rPr>
                <w:rFonts w:ascii="Times New Roman" w:hAnsi="Times New Roman"/>
                <w:color w:val="000000"/>
                <w:sz w:val="20"/>
              </w:rPr>
              <w:t>14.3</w:t>
            </w:r>
          </w:p>
        </w:tc>
        <w:tc>
          <w:tcPr>
            <w:tcW w:w="647" w:type="pct"/>
            <w:tcBorders>
              <w:top w:val="single" w:sz="4" w:space="0" w:color="auto"/>
              <w:left w:val="single" w:sz="4" w:space="0" w:color="auto"/>
              <w:bottom w:val="single" w:sz="4" w:space="0" w:color="auto"/>
              <w:right w:val="single" w:sz="4" w:space="0" w:color="auto"/>
            </w:tcBorders>
            <w:shd w:val="clear" w:color="000000" w:fill="71C487"/>
            <w:noWrap/>
            <w:vAlign w:val="center"/>
            <w:hideMark/>
          </w:tcPr>
          <w:p w14:paraId="178853F5" w14:textId="77777777" w:rsidR="00A37B53" w:rsidRPr="00A37B53" w:rsidRDefault="00A37B53" w:rsidP="00A37B53">
            <w:pPr>
              <w:spacing w:after="0" w:line="240" w:lineRule="auto"/>
              <w:jc w:val="center"/>
              <w:rPr>
                <w:rFonts w:ascii="Times New Roman" w:eastAsia="Times New Roman" w:hAnsi="Times New Roman"/>
                <w:color w:val="000000"/>
                <w:sz w:val="20"/>
                <w:szCs w:val="20"/>
              </w:rPr>
            </w:pPr>
            <w:r>
              <w:rPr>
                <w:rFonts w:ascii="Times New Roman" w:hAnsi="Times New Roman"/>
                <w:color w:val="000000"/>
                <w:sz w:val="20"/>
              </w:rPr>
              <w:t>140.6</w:t>
            </w:r>
          </w:p>
        </w:tc>
        <w:tc>
          <w:tcPr>
            <w:tcW w:w="647" w:type="pct"/>
            <w:tcBorders>
              <w:top w:val="single" w:sz="4" w:space="0" w:color="auto"/>
              <w:left w:val="single" w:sz="4" w:space="0" w:color="auto"/>
              <w:bottom w:val="single" w:sz="4" w:space="0" w:color="auto"/>
              <w:right w:val="single" w:sz="4" w:space="0" w:color="auto"/>
            </w:tcBorders>
            <w:shd w:val="clear" w:color="000000" w:fill="F8FAFB"/>
            <w:noWrap/>
            <w:vAlign w:val="center"/>
            <w:hideMark/>
          </w:tcPr>
          <w:p w14:paraId="6409A290" w14:textId="77777777" w:rsidR="00A37B53" w:rsidRPr="00A37B53" w:rsidRDefault="00A37B53" w:rsidP="00A37B53">
            <w:pPr>
              <w:spacing w:after="0" w:line="240" w:lineRule="auto"/>
              <w:jc w:val="center"/>
              <w:rPr>
                <w:rFonts w:ascii="Times New Roman" w:eastAsia="Times New Roman" w:hAnsi="Times New Roman"/>
                <w:color w:val="000000"/>
                <w:sz w:val="20"/>
                <w:szCs w:val="20"/>
              </w:rPr>
            </w:pPr>
            <w:r>
              <w:rPr>
                <w:rFonts w:ascii="Times New Roman" w:hAnsi="Times New Roman"/>
                <w:color w:val="000000"/>
                <w:sz w:val="20"/>
              </w:rPr>
              <w:t>9.6</w:t>
            </w:r>
          </w:p>
        </w:tc>
        <w:tc>
          <w:tcPr>
            <w:tcW w:w="647" w:type="pct"/>
            <w:tcBorders>
              <w:top w:val="single" w:sz="4" w:space="0" w:color="auto"/>
              <w:left w:val="single" w:sz="4" w:space="0" w:color="auto"/>
              <w:bottom w:val="single" w:sz="4" w:space="0" w:color="auto"/>
              <w:right w:val="single" w:sz="4" w:space="0" w:color="auto"/>
            </w:tcBorders>
            <w:shd w:val="clear" w:color="000000" w:fill="F7FAFB"/>
            <w:noWrap/>
            <w:vAlign w:val="center"/>
            <w:hideMark/>
          </w:tcPr>
          <w:p w14:paraId="60AE4FDE" w14:textId="77777777" w:rsidR="00A37B53" w:rsidRPr="00A37B53" w:rsidRDefault="00A37B53" w:rsidP="00A37B53">
            <w:pPr>
              <w:spacing w:after="0" w:line="240" w:lineRule="auto"/>
              <w:jc w:val="center"/>
              <w:rPr>
                <w:rFonts w:ascii="Times New Roman" w:eastAsia="Times New Roman" w:hAnsi="Times New Roman"/>
                <w:color w:val="000000"/>
                <w:sz w:val="20"/>
                <w:szCs w:val="20"/>
              </w:rPr>
            </w:pPr>
            <w:r>
              <w:rPr>
                <w:rFonts w:ascii="Times New Roman" w:hAnsi="Times New Roman"/>
                <w:color w:val="000000"/>
                <w:sz w:val="20"/>
              </w:rPr>
              <w:t>10.3</w:t>
            </w:r>
          </w:p>
        </w:tc>
        <w:tc>
          <w:tcPr>
            <w:tcW w:w="647" w:type="pct"/>
            <w:tcBorders>
              <w:top w:val="single" w:sz="4" w:space="0" w:color="auto"/>
              <w:left w:val="single" w:sz="4" w:space="0" w:color="auto"/>
              <w:bottom w:val="single" w:sz="4" w:space="0" w:color="auto"/>
              <w:right w:val="nil"/>
            </w:tcBorders>
            <w:shd w:val="clear" w:color="000000" w:fill="F8FBFB"/>
            <w:noWrap/>
            <w:vAlign w:val="center"/>
            <w:hideMark/>
          </w:tcPr>
          <w:p w14:paraId="1A3AE486" w14:textId="77777777" w:rsidR="00A37B53" w:rsidRPr="00A37B53" w:rsidRDefault="00A37B53" w:rsidP="00A37B53">
            <w:pPr>
              <w:spacing w:after="0" w:line="240" w:lineRule="auto"/>
              <w:jc w:val="center"/>
              <w:rPr>
                <w:rFonts w:ascii="Times New Roman" w:eastAsia="Times New Roman" w:hAnsi="Times New Roman"/>
                <w:color w:val="000000"/>
                <w:sz w:val="20"/>
                <w:szCs w:val="20"/>
              </w:rPr>
            </w:pPr>
            <w:r>
              <w:rPr>
                <w:rFonts w:ascii="Times New Roman" w:hAnsi="Times New Roman"/>
                <w:color w:val="000000"/>
                <w:sz w:val="20"/>
              </w:rPr>
              <w:t>9.5</w:t>
            </w:r>
          </w:p>
        </w:tc>
      </w:tr>
      <w:tr w:rsidR="00A37B53" w:rsidRPr="00A37B53" w14:paraId="669B4DF3" w14:textId="77777777" w:rsidTr="00385866">
        <w:trPr>
          <w:cantSplit/>
          <w:trHeight w:val="180"/>
          <w:jc w:val="center"/>
        </w:trPr>
        <w:tc>
          <w:tcPr>
            <w:tcW w:w="896" w:type="pct"/>
            <w:vMerge/>
            <w:tcBorders>
              <w:top w:val="nil"/>
              <w:left w:val="nil"/>
              <w:bottom w:val="single" w:sz="4" w:space="0" w:color="auto"/>
              <w:right w:val="single" w:sz="4" w:space="0" w:color="auto"/>
            </w:tcBorders>
            <w:vAlign w:val="center"/>
            <w:hideMark/>
          </w:tcPr>
          <w:p w14:paraId="01CC6140" w14:textId="77777777" w:rsidR="00A37B53" w:rsidRPr="00A37B53" w:rsidRDefault="00A37B53" w:rsidP="00A37B53">
            <w:pPr>
              <w:spacing w:after="0" w:line="240" w:lineRule="auto"/>
              <w:rPr>
                <w:rFonts w:ascii="Times New Roman" w:eastAsia="Times New Roman" w:hAnsi="Times New Roman"/>
                <w:b/>
                <w:bCs/>
                <w:color w:val="000000"/>
                <w:sz w:val="20"/>
                <w:szCs w:val="20"/>
                <w:lang w:eastAsia="pt-BR"/>
              </w:rPr>
            </w:pPr>
          </w:p>
        </w:tc>
        <w:tc>
          <w:tcPr>
            <w:tcW w:w="869" w:type="pct"/>
            <w:tcBorders>
              <w:top w:val="nil"/>
              <w:left w:val="nil"/>
              <w:bottom w:val="single" w:sz="4" w:space="0" w:color="auto"/>
              <w:right w:val="single" w:sz="4" w:space="0" w:color="auto"/>
            </w:tcBorders>
            <w:shd w:val="clear" w:color="auto" w:fill="auto"/>
            <w:noWrap/>
            <w:vAlign w:val="center"/>
            <w:hideMark/>
          </w:tcPr>
          <w:p w14:paraId="18BB8E8C" w14:textId="77777777" w:rsidR="00A37B53" w:rsidRPr="00A37B53" w:rsidRDefault="00A37B53" w:rsidP="00A37B53">
            <w:pPr>
              <w:spacing w:after="0" w:line="240" w:lineRule="auto"/>
              <w:rPr>
                <w:rFonts w:ascii="Times New Roman" w:eastAsia="Times New Roman" w:hAnsi="Times New Roman"/>
                <w:color w:val="000000"/>
                <w:sz w:val="20"/>
                <w:szCs w:val="20"/>
              </w:rPr>
            </w:pPr>
            <w:r>
              <w:rPr>
                <w:rFonts w:ascii="Times New Roman" w:hAnsi="Times New Roman"/>
                <w:color w:val="000000"/>
                <w:sz w:val="20"/>
              </w:rPr>
              <w:t>Southeast</w:t>
            </w:r>
          </w:p>
        </w:tc>
        <w:tc>
          <w:tcPr>
            <w:tcW w:w="647" w:type="pct"/>
            <w:tcBorders>
              <w:top w:val="single" w:sz="4" w:space="0" w:color="auto"/>
              <w:left w:val="single" w:sz="4" w:space="0" w:color="auto"/>
              <w:bottom w:val="single" w:sz="4" w:space="0" w:color="auto"/>
              <w:right w:val="single" w:sz="4" w:space="0" w:color="auto"/>
            </w:tcBorders>
            <w:shd w:val="clear" w:color="000000" w:fill="C3E5CE"/>
            <w:noWrap/>
            <w:vAlign w:val="center"/>
            <w:hideMark/>
          </w:tcPr>
          <w:p w14:paraId="6E585079" w14:textId="77777777" w:rsidR="00A37B53" w:rsidRPr="00A37B53" w:rsidRDefault="00A37B53" w:rsidP="00A37B53">
            <w:pPr>
              <w:spacing w:after="0" w:line="240" w:lineRule="auto"/>
              <w:jc w:val="center"/>
              <w:rPr>
                <w:rFonts w:ascii="Times New Roman" w:eastAsia="Times New Roman" w:hAnsi="Times New Roman"/>
                <w:color w:val="000000"/>
                <w:sz w:val="20"/>
                <w:szCs w:val="20"/>
              </w:rPr>
            </w:pPr>
            <w:r>
              <w:rPr>
                <w:rFonts w:ascii="Times New Roman" w:hAnsi="Times New Roman"/>
                <w:color w:val="000000"/>
                <w:sz w:val="20"/>
              </w:rPr>
              <w:t>60.4</w:t>
            </w:r>
          </w:p>
        </w:tc>
        <w:tc>
          <w:tcPr>
            <w:tcW w:w="647" w:type="pct"/>
            <w:tcBorders>
              <w:top w:val="single" w:sz="4" w:space="0" w:color="auto"/>
              <w:left w:val="single" w:sz="4" w:space="0" w:color="auto"/>
              <w:bottom w:val="single" w:sz="4" w:space="0" w:color="auto"/>
              <w:right w:val="single" w:sz="4" w:space="0" w:color="auto"/>
            </w:tcBorders>
            <w:shd w:val="clear" w:color="000000" w:fill="B5E0C2"/>
            <w:noWrap/>
            <w:vAlign w:val="center"/>
            <w:hideMark/>
          </w:tcPr>
          <w:p w14:paraId="4D142AF7" w14:textId="77777777" w:rsidR="00A37B53" w:rsidRPr="00A37B53" w:rsidRDefault="00A37B53" w:rsidP="00A37B53">
            <w:pPr>
              <w:spacing w:after="0" w:line="240" w:lineRule="auto"/>
              <w:jc w:val="center"/>
              <w:rPr>
                <w:rFonts w:ascii="Times New Roman" w:eastAsia="Times New Roman" w:hAnsi="Times New Roman"/>
                <w:color w:val="000000"/>
                <w:sz w:val="20"/>
                <w:szCs w:val="20"/>
              </w:rPr>
            </w:pPr>
            <w:r>
              <w:rPr>
                <w:rFonts w:ascii="Times New Roman" w:hAnsi="Times New Roman"/>
                <w:color w:val="000000"/>
                <w:sz w:val="20"/>
              </w:rPr>
              <w:t>74.2</w:t>
            </w:r>
          </w:p>
        </w:tc>
        <w:tc>
          <w:tcPr>
            <w:tcW w:w="647" w:type="pct"/>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19C12D0F" w14:textId="77777777" w:rsidR="00A37B53" w:rsidRPr="00A37B53" w:rsidRDefault="00A37B53" w:rsidP="00A37B53">
            <w:pPr>
              <w:spacing w:after="0" w:line="240" w:lineRule="auto"/>
              <w:jc w:val="center"/>
              <w:rPr>
                <w:rFonts w:ascii="Times New Roman" w:eastAsia="Times New Roman" w:hAnsi="Times New Roman"/>
                <w:color w:val="000000"/>
                <w:sz w:val="20"/>
                <w:szCs w:val="20"/>
              </w:rPr>
            </w:pPr>
            <w:r>
              <w:rPr>
                <w:rFonts w:ascii="Times New Roman" w:hAnsi="Times New Roman"/>
                <w:color w:val="000000"/>
                <w:sz w:val="20"/>
              </w:rPr>
              <w:t>153.3</w:t>
            </w:r>
          </w:p>
        </w:tc>
        <w:tc>
          <w:tcPr>
            <w:tcW w:w="647" w:type="pct"/>
            <w:tcBorders>
              <w:top w:val="single" w:sz="4" w:space="0" w:color="auto"/>
              <w:left w:val="single" w:sz="4" w:space="0" w:color="auto"/>
              <w:bottom w:val="single" w:sz="4" w:space="0" w:color="auto"/>
              <w:right w:val="single" w:sz="4" w:space="0" w:color="auto"/>
            </w:tcBorders>
            <w:shd w:val="clear" w:color="000000" w:fill="C1E4CC"/>
            <w:noWrap/>
            <w:vAlign w:val="center"/>
            <w:hideMark/>
          </w:tcPr>
          <w:p w14:paraId="22EA5E6F" w14:textId="77777777" w:rsidR="00A37B53" w:rsidRPr="00A37B53" w:rsidRDefault="00A37B53" w:rsidP="00A37B53">
            <w:pPr>
              <w:spacing w:after="0" w:line="240" w:lineRule="auto"/>
              <w:jc w:val="center"/>
              <w:rPr>
                <w:rFonts w:ascii="Times New Roman" w:eastAsia="Times New Roman" w:hAnsi="Times New Roman"/>
                <w:color w:val="000000"/>
                <w:sz w:val="20"/>
                <w:szCs w:val="20"/>
              </w:rPr>
            </w:pPr>
            <w:r>
              <w:rPr>
                <w:rFonts w:ascii="Times New Roman" w:hAnsi="Times New Roman"/>
                <w:color w:val="000000"/>
                <w:sz w:val="20"/>
              </w:rPr>
              <w:t>62.3</w:t>
            </w:r>
          </w:p>
        </w:tc>
        <w:tc>
          <w:tcPr>
            <w:tcW w:w="647" w:type="pct"/>
            <w:tcBorders>
              <w:top w:val="single" w:sz="4" w:space="0" w:color="auto"/>
              <w:left w:val="single" w:sz="4" w:space="0" w:color="auto"/>
              <w:bottom w:val="single" w:sz="4" w:space="0" w:color="auto"/>
              <w:right w:val="nil"/>
            </w:tcBorders>
            <w:shd w:val="clear" w:color="000000" w:fill="C1E5CC"/>
            <w:noWrap/>
            <w:vAlign w:val="center"/>
            <w:hideMark/>
          </w:tcPr>
          <w:p w14:paraId="143594D4" w14:textId="77777777" w:rsidR="00A37B53" w:rsidRPr="00A37B53" w:rsidRDefault="00A37B53" w:rsidP="00A37B53">
            <w:pPr>
              <w:spacing w:after="0" w:line="240" w:lineRule="auto"/>
              <w:jc w:val="center"/>
              <w:rPr>
                <w:rFonts w:ascii="Times New Roman" w:eastAsia="Times New Roman" w:hAnsi="Times New Roman"/>
                <w:color w:val="000000"/>
                <w:sz w:val="20"/>
                <w:szCs w:val="20"/>
              </w:rPr>
            </w:pPr>
            <w:r>
              <w:rPr>
                <w:rFonts w:ascii="Times New Roman" w:hAnsi="Times New Roman"/>
                <w:color w:val="000000"/>
                <w:sz w:val="20"/>
              </w:rPr>
              <w:t>62.3</w:t>
            </w:r>
          </w:p>
        </w:tc>
      </w:tr>
      <w:tr w:rsidR="00A37B53" w:rsidRPr="00A37B53" w14:paraId="00366FF6" w14:textId="77777777" w:rsidTr="00385866">
        <w:trPr>
          <w:cantSplit/>
          <w:trHeight w:val="180"/>
          <w:jc w:val="center"/>
        </w:trPr>
        <w:tc>
          <w:tcPr>
            <w:tcW w:w="896" w:type="pct"/>
            <w:vMerge/>
            <w:tcBorders>
              <w:top w:val="nil"/>
              <w:left w:val="nil"/>
              <w:bottom w:val="single" w:sz="4" w:space="0" w:color="auto"/>
              <w:right w:val="single" w:sz="4" w:space="0" w:color="auto"/>
            </w:tcBorders>
            <w:vAlign w:val="center"/>
            <w:hideMark/>
          </w:tcPr>
          <w:p w14:paraId="6F0A414F" w14:textId="77777777" w:rsidR="00A37B53" w:rsidRPr="00A37B53" w:rsidRDefault="00A37B53" w:rsidP="00A37B53">
            <w:pPr>
              <w:spacing w:after="0" w:line="240" w:lineRule="auto"/>
              <w:rPr>
                <w:rFonts w:ascii="Times New Roman" w:eastAsia="Times New Roman" w:hAnsi="Times New Roman"/>
                <w:b/>
                <w:bCs/>
                <w:color w:val="000000"/>
                <w:sz w:val="20"/>
                <w:szCs w:val="20"/>
                <w:lang w:eastAsia="pt-BR"/>
              </w:rPr>
            </w:pPr>
          </w:p>
        </w:tc>
        <w:tc>
          <w:tcPr>
            <w:tcW w:w="869" w:type="pct"/>
            <w:tcBorders>
              <w:top w:val="nil"/>
              <w:left w:val="nil"/>
              <w:bottom w:val="single" w:sz="4" w:space="0" w:color="auto"/>
              <w:right w:val="single" w:sz="4" w:space="0" w:color="auto"/>
            </w:tcBorders>
            <w:shd w:val="clear" w:color="auto" w:fill="auto"/>
            <w:noWrap/>
            <w:vAlign w:val="center"/>
            <w:hideMark/>
          </w:tcPr>
          <w:p w14:paraId="77787253" w14:textId="77777777" w:rsidR="00A37B53" w:rsidRPr="00A37B53" w:rsidRDefault="00A37B53" w:rsidP="00A37B53">
            <w:pPr>
              <w:spacing w:after="0" w:line="240" w:lineRule="auto"/>
              <w:rPr>
                <w:rFonts w:ascii="Times New Roman" w:eastAsia="Times New Roman" w:hAnsi="Times New Roman"/>
                <w:color w:val="000000"/>
                <w:sz w:val="20"/>
                <w:szCs w:val="20"/>
              </w:rPr>
            </w:pPr>
            <w:r>
              <w:rPr>
                <w:rFonts w:ascii="Times New Roman" w:hAnsi="Times New Roman"/>
                <w:color w:val="000000"/>
                <w:sz w:val="20"/>
              </w:rPr>
              <w:t>South</w:t>
            </w:r>
          </w:p>
        </w:tc>
        <w:tc>
          <w:tcPr>
            <w:tcW w:w="647" w:type="pct"/>
            <w:tcBorders>
              <w:top w:val="single" w:sz="4" w:space="0" w:color="auto"/>
              <w:left w:val="single" w:sz="4" w:space="0" w:color="auto"/>
              <w:bottom w:val="single" w:sz="4" w:space="0" w:color="auto"/>
              <w:right w:val="single" w:sz="4" w:space="0" w:color="auto"/>
            </w:tcBorders>
            <w:shd w:val="clear" w:color="000000" w:fill="F6FAFA"/>
            <w:noWrap/>
            <w:vAlign w:val="center"/>
            <w:hideMark/>
          </w:tcPr>
          <w:p w14:paraId="62C6D974" w14:textId="77777777" w:rsidR="00A37B53" w:rsidRPr="00A37B53" w:rsidRDefault="00A37B53" w:rsidP="00A37B53">
            <w:pPr>
              <w:spacing w:after="0" w:line="240" w:lineRule="auto"/>
              <w:jc w:val="center"/>
              <w:rPr>
                <w:rFonts w:ascii="Times New Roman" w:eastAsia="Times New Roman" w:hAnsi="Times New Roman"/>
                <w:color w:val="000000"/>
                <w:sz w:val="20"/>
                <w:szCs w:val="20"/>
              </w:rPr>
            </w:pPr>
            <w:r>
              <w:rPr>
                <w:rFonts w:ascii="Times New Roman" w:hAnsi="Times New Roman"/>
                <w:color w:val="000000"/>
                <w:sz w:val="20"/>
              </w:rPr>
              <w:t>11.2</w:t>
            </w:r>
          </w:p>
        </w:tc>
        <w:tc>
          <w:tcPr>
            <w:tcW w:w="647" w:type="pct"/>
            <w:tcBorders>
              <w:top w:val="single" w:sz="4" w:space="0" w:color="auto"/>
              <w:left w:val="single" w:sz="4" w:space="0" w:color="auto"/>
              <w:bottom w:val="single" w:sz="4" w:space="0" w:color="auto"/>
              <w:right w:val="single" w:sz="4" w:space="0" w:color="auto"/>
            </w:tcBorders>
            <w:shd w:val="clear" w:color="000000" w:fill="F3F9F8"/>
            <w:noWrap/>
            <w:vAlign w:val="center"/>
            <w:hideMark/>
          </w:tcPr>
          <w:p w14:paraId="0191285D" w14:textId="77777777" w:rsidR="00A37B53" w:rsidRPr="00A37B53" w:rsidRDefault="00A37B53" w:rsidP="00A37B53">
            <w:pPr>
              <w:spacing w:after="0" w:line="240" w:lineRule="auto"/>
              <w:jc w:val="center"/>
              <w:rPr>
                <w:rFonts w:ascii="Times New Roman" w:eastAsia="Times New Roman" w:hAnsi="Times New Roman"/>
                <w:color w:val="000000"/>
                <w:sz w:val="20"/>
                <w:szCs w:val="20"/>
              </w:rPr>
            </w:pPr>
            <w:r>
              <w:rPr>
                <w:rFonts w:ascii="Times New Roman" w:hAnsi="Times New Roman"/>
                <w:color w:val="000000"/>
                <w:sz w:val="20"/>
              </w:rPr>
              <w:t>13.7</w:t>
            </w:r>
          </w:p>
        </w:tc>
        <w:tc>
          <w:tcPr>
            <w:tcW w:w="647" w:type="pct"/>
            <w:tcBorders>
              <w:top w:val="single" w:sz="4" w:space="0" w:color="auto"/>
              <w:left w:val="single" w:sz="4" w:space="0" w:color="auto"/>
              <w:bottom w:val="single" w:sz="4" w:space="0" w:color="auto"/>
              <w:right w:val="single" w:sz="4" w:space="0" w:color="auto"/>
            </w:tcBorders>
            <w:shd w:val="clear" w:color="000000" w:fill="F4F9F9"/>
            <w:noWrap/>
            <w:vAlign w:val="center"/>
            <w:hideMark/>
          </w:tcPr>
          <w:p w14:paraId="38C61682" w14:textId="77777777" w:rsidR="00A37B53" w:rsidRPr="00A37B53" w:rsidRDefault="00A37B53" w:rsidP="00A37B53">
            <w:pPr>
              <w:spacing w:after="0" w:line="240" w:lineRule="auto"/>
              <w:jc w:val="center"/>
              <w:rPr>
                <w:rFonts w:ascii="Times New Roman" w:eastAsia="Times New Roman" w:hAnsi="Times New Roman"/>
                <w:color w:val="000000"/>
                <w:sz w:val="20"/>
                <w:szCs w:val="20"/>
              </w:rPr>
            </w:pPr>
            <w:r>
              <w:rPr>
                <w:rFonts w:ascii="Times New Roman" w:hAnsi="Times New Roman"/>
                <w:color w:val="000000"/>
                <w:sz w:val="20"/>
              </w:rPr>
              <w:t>12.6</w:t>
            </w:r>
          </w:p>
        </w:tc>
        <w:tc>
          <w:tcPr>
            <w:tcW w:w="647" w:type="pct"/>
            <w:tcBorders>
              <w:top w:val="single" w:sz="4" w:space="0" w:color="auto"/>
              <w:left w:val="single" w:sz="4" w:space="0" w:color="auto"/>
              <w:bottom w:val="single" w:sz="4" w:space="0" w:color="auto"/>
              <w:right w:val="single" w:sz="4" w:space="0" w:color="auto"/>
            </w:tcBorders>
            <w:shd w:val="clear" w:color="000000" w:fill="97D4A8"/>
            <w:noWrap/>
            <w:vAlign w:val="center"/>
            <w:hideMark/>
          </w:tcPr>
          <w:p w14:paraId="225A3ED7" w14:textId="77777777" w:rsidR="00A37B53" w:rsidRPr="00A37B53" w:rsidRDefault="00A37B53" w:rsidP="00A37B53">
            <w:pPr>
              <w:spacing w:after="0" w:line="240" w:lineRule="auto"/>
              <w:jc w:val="center"/>
              <w:rPr>
                <w:rFonts w:ascii="Times New Roman" w:eastAsia="Times New Roman" w:hAnsi="Times New Roman"/>
                <w:color w:val="000000"/>
                <w:sz w:val="20"/>
                <w:szCs w:val="20"/>
              </w:rPr>
            </w:pPr>
            <w:r>
              <w:rPr>
                <w:rFonts w:ascii="Times New Roman" w:hAnsi="Times New Roman"/>
                <w:color w:val="000000"/>
                <w:sz w:val="20"/>
              </w:rPr>
              <w:t>103.0</w:t>
            </w:r>
          </w:p>
        </w:tc>
        <w:tc>
          <w:tcPr>
            <w:tcW w:w="647" w:type="pct"/>
            <w:tcBorders>
              <w:top w:val="single" w:sz="4" w:space="0" w:color="auto"/>
              <w:left w:val="single" w:sz="4" w:space="0" w:color="auto"/>
              <w:bottom w:val="single" w:sz="4" w:space="0" w:color="auto"/>
              <w:right w:val="nil"/>
            </w:tcBorders>
            <w:shd w:val="clear" w:color="000000" w:fill="F7FAFB"/>
            <w:noWrap/>
            <w:vAlign w:val="center"/>
            <w:hideMark/>
          </w:tcPr>
          <w:p w14:paraId="7B29733A" w14:textId="77777777" w:rsidR="00A37B53" w:rsidRPr="00A37B53" w:rsidRDefault="00A37B53" w:rsidP="00A37B53">
            <w:pPr>
              <w:spacing w:after="0" w:line="240" w:lineRule="auto"/>
              <w:jc w:val="center"/>
              <w:rPr>
                <w:rFonts w:ascii="Times New Roman" w:eastAsia="Times New Roman" w:hAnsi="Times New Roman"/>
                <w:color w:val="000000"/>
                <w:sz w:val="20"/>
                <w:szCs w:val="20"/>
              </w:rPr>
            </w:pPr>
            <w:r>
              <w:rPr>
                <w:rFonts w:ascii="Times New Roman" w:hAnsi="Times New Roman"/>
                <w:color w:val="000000"/>
                <w:sz w:val="20"/>
              </w:rPr>
              <w:t>10.3</w:t>
            </w:r>
          </w:p>
        </w:tc>
      </w:tr>
      <w:tr w:rsidR="00A37B53" w:rsidRPr="00A37B53" w14:paraId="0523F1F4" w14:textId="77777777" w:rsidTr="00385866">
        <w:trPr>
          <w:cantSplit/>
          <w:trHeight w:val="180"/>
          <w:jc w:val="center"/>
        </w:trPr>
        <w:tc>
          <w:tcPr>
            <w:tcW w:w="896" w:type="pct"/>
            <w:vMerge/>
            <w:tcBorders>
              <w:top w:val="nil"/>
              <w:left w:val="nil"/>
              <w:bottom w:val="single" w:sz="4" w:space="0" w:color="auto"/>
              <w:right w:val="single" w:sz="4" w:space="0" w:color="auto"/>
            </w:tcBorders>
            <w:vAlign w:val="center"/>
            <w:hideMark/>
          </w:tcPr>
          <w:p w14:paraId="4371D575" w14:textId="77777777" w:rsidR="00A37B53" w:rsidRPr="00A37B53" w:rsidRDefault="00A37B53" w:rsidP="00A37B53">
            <w:pPr>
              <w:spacing w:after="0" w:line="240" w:lineRule="auto"/>
              <w:rPr>
                <w:rFonts w:ascii="Times New Roman" w:eastAsia="Times New Roman" w:hAnsi="Times New Roman"/>
                <w:b/>
                <w:bCs/>
                <w:color w:val="000000"/>
                <w:sz w:val="20"/>
                <w:szCs w:val="20"/>
                <w:lang w:eastAsia="pt-BR"/>
              </w:rPr>
            </w:pPr>
          </w:p>
        </w:tc>
        <w:tc>
          <w:tcPr>
            <w:tcW w:w="869" w:type="pct"/>
            <w:tcBorders>
              <w:top w:val="nil"/>
              <w:left w:val="nil"/>
              <w:bottom w:val="single" w:sz="4" w:space="0" w:color="auto"/>
              <w:right w:val="single" w:sz="4" w:space="0" w:color="auto"/>
            </w:tcBorders>
            <w:shd w:val="clear" w:color="auto" w:fill="auto"/>
            <w:noWrap/>
            <w:vAlign w:val="center"/>
            <w:hideMark/>
          </w:tcPr>
          <w:p w14:paraId="0116BFFA" w14:textId="6AE6AEF6" w:rsidR="00A37B53" w:rsidRPr="00A37B53" w:rsidRDefault="00C03EC0" w:rsidP="00A37B53">
            <w:pPr>
              <w:spacing w:after="0" w:line="240" w:lineRule="auto"/>
              <w:rPr>
                <w:rFonts w:ascii="Times New Roman" w:eastAsia="Times New Roman" w:hAnsi="Times New Roman"/>
                <w:color w:val="000000"/>
                <w:sz w:val="20"/>
                <w:szCs w:val="20"/>
              </w:rPr>
            </w:pPr>
            <w:r>
              <w:rPr>
                <w:rFonts w:ascii="Times New Roman" w:hAnsi="Times New Roman"/>
                <w:color w:val="000000"/>
                <w:sz w:val="20"/>
              </w:rPr>
              <w:t>Midwest</w:t>
            </w:r>
          </w:p>
        </w:tc>
        <w:tc>
          <w:tcPr>
            <w:tcW w:w="647" w:type="pct"/>
            <w:tcBorders>
              <w:top w:val="single" w:sz="4" w:space="0" w:color="auto"/>
              <w:left w:val="single" w:sz="4" w:space="0" w:color="auto"/>
              <w:bottom w:val="single" w:sz="4" w:space="0" w:color="auto"/>
              <w:right w:val="single" w:sz="4" w:space="0" w:color="auto"/>
            </w:tcBorders>
            <w:shd w:val="clear" w:color="000000" w:fill="F9FBFD"/>
            <w:noWrap/>
            <w:vAlign w:val="center"/>
            <w:hideMark/>
          </w:tcPr>
          <w:p w14:paraId="60CF8CD8" w14:textId="77777777" w:rsidR="00A37B53" w:rsidRPr="00A37B53" w:rsidRDefault="00A37B53" w:rsidP="00A37B53">
            <w:pPr>
              <w:spacing w:after="0" w:line="240" w:lineRule="auto"/>
              <w:jc w:val="center"/>
              <w:rPr>
                <w:rFonts w:ascii="Times New Roman" w:eastAsia="Times New Roman" w:hAnsi="Times New Roman"/>
                <w:color w:val="000000"/>
                <w:sz w:val="20"/>
                <w:szCs w:val="20"/>
              </w:rPr>
            </w:pPr>
            <w:r>
              <w:rPr>
                <w:rFonts w:ascii="Times New Roman" w:hAnsi="Times New Roman"/>
                <w:color w:val="000000"/>
                <w:sz w:val="20"/>
              </w:rPr>
              <w:t>8.1</w:t>
            </w:r>
          </w:p>
        </w:tc>
        <w:tc>
          <w:tcPr>
            <w:tcW w:w="647" w:type="pct"/>
            <w:tcBorders>
              <w:top w:val="single" w:sz="4" w:space="0" w:color="auto"/>
              <w:left w:val="single" w:sz="4" w:space="0" w:color="auto"/>
              <w:bottom w:val="single" w:sz="4" w:space="0" w:color="auto"/>
              <w:right w:val="single" w:sz="4" w:space="0" w:color="auto"/>
            </w:tcBorders>
            <w:shd w:val="clear" w:color="000000" w:fill="F8FBFC"/>
            <w:noWrap/>
            <w:vAlign w:val="center"/>
            <w:hideMark/>
          </w:tcPr>
          <w:p w14:paraId="155B2F10" w14:textId="77777777" w:rsidR="00A37B53" w:rsidRPr="00A37B53" w:rsidRDefault="00A37B53" w:rsidP="00A37B53">
            <w:pPr>
              <w:spacing w:after="0" w:line="240" w:lineRule="auto"/>
              <w:jc w:val="center"/>
              <w:rPr>
                <w:rFonts w:ascii="Times New Roman" w:eastAsia="Times New Roman" w:hAnsi="Times New Roman"/>
                <w:color w:val="000000"/>
                <w:sz w:val="20"/>
                <w:szCs w:val="20"/>
              </w:rPr>
            </w:pPr>
            <w:r>
              <w:rPr>
                <w:rFonts w:ascii="Times New Roman" w:hAnsi="Times New Roman"/>
                <w:color w:val="000000"/>
                <w:sz w:val="20"/>
              </w:rPr>
              <w:t>9.2</w:t>
            </w:r>
          </w:p>
        </w:tc>
        <w:tc>
          <w:tcPr>
            <w:tcW w:w="647" w:type="pct"/>
            <w:tcBorders>
              <w:top w:val="single" w:sz="4" w:space="0" w:color="auto"/>
              <w:left w:val="single" w:sz="4" w:space="0" w:color="auto"/>
              <w:bottom w:val="single" w:sz="4" w:space="0" w:color="auto"/>
              <w:right w:val="single" w:sz="4" w:space="0" w:color="auto"/>
            </w:tcBorders>
            <w:shd w:val="clear" w:color="000000" w:fill="FBFCFE"/>
            <w:noWrap/>
            <w:vAlign w:val="center"/>
            <w:hideMark/>
          </w:tcPr>
          <w:p w14:paraId="662929AA" w14:textId="77777777" w:rsidR="00A37B53" w:rsidRPr="00A37B53" w:rsidRDefault="00A37B53" w:rsidP="00A37B53">
            <w:pPr>
              <w:spacing w:after="0" w:line="240" w:lineRule="auto"/>
              <w:jc w:val="center"/>
              <w:rPr>
                <w:rFonts w:ascii="Times New Roman" w:eastAsia="Times New Roman" w:hAnsi="Times New Roman"/>
                <w:color w:val="000000"/>
                <w:sz w:val="20"/>
                <w:szCs w:val="20"/>
              </w:rPr>
            </w:pPr>
            <w:r>
              <w:rPr>
                <w:rFonts w:ascii="Times New Roman" w:hAnsi="Times New Roman"/>
                <w:color w:val="000000"/>
                <w:sz w:val="20"/>
              </w:rPr>
              <w:t>6.4</w:t>
            </w:r>
          </w:p>
        </w:tc>
        <w:tc>
          <w:tcPr>
            <w:tcW w:w="647" w:type="pct"/>
            <w:tcBorders>
              <w:top w:val="single" w:sz="4" w:space="0" w:color="auto"/>
              <w:left w:val="single" w:sz="4" w:space="0" w:color="auto"/>
              <w:bottom w:val="single" w:sz="4" w:space="0" w:color="auto"/>
              <w:right w:val="single" w:sz="4" w:space="0" w:color="auto"/>
            </w:tcBorders>
            <w:shd w:val="clear" w:color="000000" w:fill="F9FBFC"/>
            <w:noWrap/>
            <w:vAlign w:val="center"/>
            <w:hideMark/>
          </w:tcPr>
          <w:p w14:paraId="54304915" w14:textId="77777777" w:rsidR="00A37B53" w:rsidRPr="00A37B53" w:rsidRDefault="00A37B53" w:rsidP="00A37B53">
            <w:pPr>
              <w:spacing w:after="0" w:line="240" w:lineRule="auto"/>
              <w:jc w:val="center"/>
              <w:rPr>
                <w:rFonts w:ascii="Times New Roman" w:eastAsia="Times New Roman" w:hAnsi="Times New Roman"/>
                <w:color w:val="000000"/>
                <w:sz w:val="20"/>
                <w:szCs w:val="20"/>
              </w:rPr>
            </w:pPr>
            <w:r>
              <w:rPr>
                <w:rFonts w:ascii="Times New Roman" w:hAnsi="Times New Roman"/>
                <w:color w:val="000000"/>
                <w:sz w:val="20"/>
              </w:rPr>
              <w:t>8.5</w:t>
            </w:r>
          </w:p>
        </w:tc>
        <w:tc>
          <w:tcPr>
            <w:tcW w:w="647" w:type="pct"/>
            <w:tcBorders>
              <w:top w:val="single" w:sz="4" w:space="0" w:color="auto"/>
              <w:left w:val="single" w:sz="4" w:space="0" w:color="auto"/>
              <w:bottom w:val="single" w:sz="4" w:space="0" w:color="auto"/>
              <w:right w:val="nil"/>
            </w:tcBorders>
            <w:shd w:val="clear" w:color="000000" w:fill="B8E1C5"/>
            <w:noWrap/>
            <w:vAlign w:val="center"/>
            <w:hideMark/>
          </w:tcPr>
          <w:p w14:paraId="5B707ACD" w14:textId="77777777" w:rsidR="00A37B53" w:rsidRPr="00A37B53" w:rsidRDefault="00A37B53" w:rsidP="00A37B53">
            <w:pPr>
              <w:spacing w:after="0" w:line="240" w:lineRule="auto"/>
              <w:jc w:val="center"/>
              <w:rPr>
                <w:rFonts w:ascii="Times New Roman" w:eastAsia="Times New Roman" w:hAnsi="Times New Roman"/>
                <w:color w:val="000000"/>
                <w:sz w:val="20"/>
                <w:szCs w:val="20"/>
              </w:rPr>
            </w:pPr>
            <w:r>
              <w:rPr>
                <w:rFonts w:ascii="Times New Roman" w:hAnsi="Times New Roman"/>
                <w:color w:val="000000"/>
                <w:sz w:val="20"/>
              </w:rPr>
              <w:t>71.1</w:t>
            </w:r>
          </w:p>
        </w:tc>
      </w:tr>
      <w:tr w:rsidR="00A37B53" w:rsidRPr="00A37B53" w14:paraId="541F19D0" w14:textId="77777777" w:rsidTr="00385866">
        <w:trPr>
          <w:cantSplit/>
          <w:trHeight w:val="180"/>
          <w:jc w:val="center"/>
        </w:trPr>
        <w:tc>
          <w:tcPr>
            <w:tcW w:w="896" w:type="pct"/>
            <w:vMerge/>
            <w:tcBorders>
              <w:top w:val="nil"/>
              <w:left w:val="nil"/>
              <w:bottom w:val="single" w:sz="4" w:space="0" w:color="auto"/>
              <w:right w:val="single" w:sz="4" w:space="0" w:color="auto"/>
            </w:tcBorders>
            <w:vAlign w:val="center"/>
            <w:hideMark/>
          </w:tcPr>
          <w:p w14:paraId="4F05CB32" w14:textId="77777777" w:rsidR="00A37B53" w:rsidRPr="00A37B53" w:rsidRDefault="00A37B53" w:rsidP="00A37B53">
            <w:pPr>
              <w:spacing w:after="0" w:line="240" w:lineRule="auto"/>
              <w:rPr>
                <w:rFonts w:ascii="Times New Roman" w:eastAsia="Times New Roman" w:hAnsi="Times New Roman"/>
                <w:b/>
                <w:bCs/>
                <w:color w:val="000000"/>
                <w:sz w:val="20"/>
                <w:szCs w:val="20"/>
                <w:lang w:eastAsia="pt-BR"/>
              </w:rPr>
            </w:pPr>
          </w:p>
        </w:tc>
        <w:tc>
          <w:tcPr>
            <w:tcW w:w="869" w:type="pct"/>
            <w:tcBorders>
              <w:top w:val="nil"/>
              <w:left w:val="nil"/>
              <w:bottom w:val="single" w:sz="4" w:space="0" w:color="auto"/>
              <w:right w:val="single" w:sz="4" w:space="0" w:color="auto"/>
            </w:tcBorders>
            <w:shd w:val="clear" w:color="auto" w:fill="auto"/>
            <w:noWrap/>
            <w:vAlign w:val="center"/>
            <w:hideMark/>
          </w:tcPr>
          <w:p w14:paraId="2C5127CA" w14:textId="77777777" w:rsidR="00A37B53" w:rsidRPr="00A37B53" w:rsidRDefault="00A37B53" w:rsidP="00A37B53">
            <w:pPr>
              <w:spacing w:after="0" w:line="240" w:lineRule="auto"/>
              <w:rPr>
                <w:rFonts w:ascii="Times New Roman" w:eastAsia="Times New Roman" w:hAnsi="Times New Roman"/>
                <w:b/>
                <w:bCs/>
                <w:color w:val="000000"/>
                <w:sz w:val="20"/>
                <w:szCs w:val="20"/>
              </w:rPr>
            </w:pPr>
            <w:r>
              <w:rPr>
                <w:rFonts w:ascii="Times New Roman" w:hAnsi="Times New Roman"/>
                <w:b/>
                <w:color w:val="000000"/>
                <w:sz w:val="20"/>
              </w:rPr>
              <w:t>Total</w:t>
            </w:r>
          </w:p>
        </w:tc>
        <w:tc>
          <w:tcPr>
            <w:tcW w:w="647" w:type="pct"/>
            <w:tcBorders>
              <w:top w:val="single" w:sz="4" w:space="0" w:color="auto"/>
              <w:left w:val="single" w:sz="4" w:space="0" w:color="auto"/>
              <w:bottom w:val="single" w:sz="4" w:space="0" w:color="auto"/>
              <w:right w:val="single" w:sz="4" w:space="0" w:color="auto"/>
            </w:tcBorders>
            <w:shd w:val="clear" w:color="000000" w:fill="CAE8D4"/>
            <w:noWrap/>
            <w:vAlign w:val="center"/>
            <w:hideMark/>
          </w:tcPr>
          <w:p w14:paraId="40703611" w14:textId="77777777" w:rsidR="00A37B53" w:rsidRPr="00A37B53" w:rsidRDefault="00A37B53" w:rsidP="00A37B53">
            <w:pPr>
              <w:spacing w:after="0" w:line="240" w:lineRule="auto"/>
              <w:jc w:val="center"/>
              <w:rPr>
                <w:rFonts w:ascii="Times New Roman" w:eastAsia="Times New Roman" w:hAnsi="Times New Roman"/>
                <w:b/>
                <w:bCs/>
                <w:color w:val="000000"/>
                <w:sz w:val="20"/>
                <w:szCs w:val="20"/>
              </w:rPr>
            </w:pPr>
            <w:r>
              <w:rPr>
                <w:rFonts w:ascii="Times New Roman" w:hAnsi="Times New Roman"/>
                <w:b/>
                <w:color w:val="000000"/>
                <w:sz w:val="20"/>
              </w:rPr>
              <w:t>187.4</w:t>
            </w:r>
          </w:p>
        </w:tc>
        <w:tc>
          <w:tcPr>
            <w:tcW w:w="647" w:type="pct"/>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2BD7012B" w14:textId="77777777" w:rsidR="00A37B53" w:rsidRPr="00A37B53" w:rsidRDefault="00A37B53" w:rsidP="00A37B53">
            <w:pPr>
              <w:spacing w:after="0" w:line="240" w:lineRule="auto"/>
              <w:jc w:val="center"/>
              <w:rPr>
                <w:rFonts w:ascii="Times New Roman" w:eastAsia="Times New Roman" w:hAnsi="Times New Roman"/>
                <w:b/>
                <w:bCs/>
                <w:color w:val="000000"/>
                <w:sz w:val="20"/>
                <w:szCs w:val="20"/>
              </w:rPr>
            </w:pPr>
            <w:r>
              <w:rPr>
                <w:rFonts w:ascii="Times New Roman" w:hAnsi="Times New Roman"/>
                <w:b/>
                <w:color w:val="000000"/>
                <w:sz w:val="20"/>
              </w:rPr>
              <w:t>245.5</w:t>
            </w:r>
          </w:p>
        </w:tc>
        <w:tc>
          <w:tcPr>
            <w:tcW w:w="647" w:type="pct"/>
            <w:tcBorders>
              <w:top w:val="single" w:sz="4" w:space="0" w:color="auto"/>
              <w:left w:val="single" w:sz="4" w:space="0" w:color="auto"/>
              <w:bottom w:val="single" w:sz="4" w:space="0" w:color="auto"/>
              <w:right w:val="single" w:sz="4" w:space="0" w:color="auto"/>
            </w:tcBorders>
            <w:shd w:val="clear" w:color="000000" w:fill="C9E8D3"/>
            <w:noWrap/>
            <w:vAlign w:val="center"/>
            <w:hideMark/>
          </w:tcPr>
          <w:p w14:paraId="7254A409" w14:textId="77777777" w:rsidR="00A37B53" w:rsidRPr="00A37B53" w:rsidRDefault="00A37B53" w:rsidP="00A37B53">
            <w:pPr>
              <w:spacing w:after="0" w:line="240" w:lineRule="auto"/>
              <w:jc w:val="center"/>
              <w:rPr>
                <w:rFonts w:ascii="Times New Roman" w:eastAsia="Times New Roman" w:hAnsi="Times New Roman"/>
                <w:b/>
                <w:bCs/>
                <w:color w:val="000000"/>
                <w:sz w:val="20"/>
                <w:szCs w:val="20"/>
              </w:rPr>
            </w:pPr>
            <w:r>
              <w:rPr>
                <w:rFonts w:ascii="Times New Roman" w:hAnsi="Times New Roman"/>
                <w:b/>
                <w:color w:val="000000"/>
                <w:sz w:val="20"/>
              </w:rPr>
              <w:t>188.2</w:t>
            </w:r>
          </w:p>
        </w:tc>
        <w:tc>
          <w:tcPr>
            <w:tcW w:w="647" w:type="pct"/>
            <w:tcBorders>
              <w:top w:val="single" w:sz="4" w:space="0" w:color="auto"/>
              <w:left w:val="single" w:sz="4" w:space="0" w:color="auto"/>
              <w:bottom w:val="single" w:sz="4" w:space="0" w:color="auto"/>
              <w:right w:val="single" w:sz="4" w:space="0" w:color="auto"/>
            </w:tcBorders>
            <w:shd w:val="clear" w:color="000000" w:fill="C8E7D2"/>
            <w:noWrap/>
            <w:vAlign w:val="center"/>
            <w:hideMark/>
          </w:tcPr>
          <w:p w14:paraId="3425F02C" w14:textId="77777777" w:rsidR="00A37B53" w:rsidRPr="00A37B53" w:rsidRDefault="00A37B53" w:rsidP="00A37B53">
            <w:pPr>
              <w:spacing w:after="0" w:line="240" w:lineRule="auto"/>
              <w:jc w:val="center"/>
              <w:rPr>
                <w:rFonts w:ascii="Times New Roman" w:eastAsia="Times New Roman" w:hAnsi="Times New Roman"/>
                <w:b/>
                <w:bCs/>
                <w:color w:val="000000"/>
                <w:sz w:val="20"/>
                <w:szCs w:val="20"/>
              </w:rPr>
            </w:pPr>
            <w:r>
              <w:rPr>
                <w:rFonts w:ascii="Times New Roman" w:hAnsi="Times New Roman"/>
                <w:b/>
                <w:color w:val="000000"/>
                <w:sz w:val="20"/>
              </w:rPr>
              <w:t>188.8</w:t>
            </w:r>
          </w:p>
        </w:tc>
        <w:tc>
          <w:tcPr>
            <w:tcW w:w="647" w:type="pct"/>
            <w:tcBorders>
              <w:top w:val="single" w:sz="4" w:space="0" w:color="auto"/>
              <w:left w:val="single" w:sz="4" w:space="0" w:color="auto"/>
              <w:bottom w:val="single" w:sz="4" w:space="0" w:color="auto"/>
              <w:right w:val="nil"/>
            </w:tcBorders>
            <w:shd w:val="clear" w:color="000000" w:fill="FCFCFF"/>
            <w:noWrap/>
            <w:vAlign w:val="center"/>
            <w:hideMark/>
          </w:tcPr>
          <w:p w14:paraId="2E7B880D" w14:textId="77777777" w:rsidR="00A37B53" w:rsidRPr="00A37B53" w:rsidRDefault="00A37B53" w:rsidP="00A37B53">
            <w:pPr>
              <w:spacing w:after="0" w:line="240" w:lineRule="auto"/>
              <w:jc w:val="center"/>
              <w:rPr>
                <w:rFonts w:ascii="Times New Roman" w:eastAsia="Times New Roman" w:hAnsi="Times New Roman"/>
                <w:b/>
                <w:bCs/>
                <w:color w:val="000000"/>
                <w:sz w:val="20"/>
                <w:szCs w:val="20"/>
              </w:rPr>
            </w:pPr>
            <w:r>
              <w:rPr>
                <w:rFonts w:ascii="Times New Roman" w:hAnsi="Times New Roman"/>
                <w:b/>
                <w:color w:val="000000"/>
                <w:sz w:val="20"/>
              </w:rPr>
              <w:t>159.1</w:t>
            </w:r>
          </w:p>
        </w:tc>
      </w:tr>
      <w:tr w:rsidR="00A37B53" w:rsidRPr="00A37B53" w14:paraId="54D126EC" w14:textId="77777777" w:rsidTr="00385866">
        <w:trPr>
          <w:cantSplit/>
          <w:trHeight w:val="180"/>
          <w:jc w:val="center"/>
        </w:trPr>
        <w:tc>
          <w:tcPr>
            <w:tcW w:w="896" w:type="pct"/>
            <w:vMerge w:val="restart"/>
            <w:tcBorders>
              <w:top w:val="nil"/>
              <w:left w:val="nil"/>
              <w:bottom w:val="single" w:sz="4" w:space="0" w:color="auto"/>
              <w:right w:val="single" w:sz="4" w:space="0" w:color="auto"/>
            </w:tcBorders>
            <w:shd w:val="clear" w:color="auto" w:fill="auto"/>
            <w:vAlign w:val="center"/>
            <w:hideMark/>
          </w:tcPr>
          <w:p w14:paraId="482E1827" w14:textId="77777777" w:rsidR="00A37B53" w:rsidRPr="00A37B53" w:rsidRDefault="00A37B53" w:rsidP="00A37B53">
            <w:pPr>
              <w:spacing w:after="0" w:line="240" w:lineRule="auto"/>
              <w:rPr>
                <w:rFonts w:ascii="Times New Roman" w:eastAsia="Times New Roman" w:hAnsi="Times New Roman"/>
                <w:b/>
                <w:bCs/>
                <w:color w:val="000000"/>
                <w:sz w:val="20"/>
                <w:szCs w:val="20"/>
              </w:rPr>
            </w:pPr>
            <w:r>
              <w:rPr>
                <w:rFonts w:ascii="Times New Roman" w:hAnsi="Times New Roman"/>
                <w:b/>
                <w:color w:val="000000"/>
                <w:sz w:val="20"/>
              </w:rPr>
              <w:t>Total income*</w:t>
            </w:r>
          </w:p>
        </w:tc>
        <w:tc>
          <w:tcPr>
            <w:tcW w:w="869" w:type="pct"/>
            <w:tcBorders>
              <w:top w:val="nil"/>
              <w:left w:val="nil"/>
              <w:bottom w:val="single" w:sz="4" w:space="0" w:color="auto"/>
              <w:right w:val="single" w:sz="4" w:space="0" w:color="auto"/>
            </w:tcBorders>
            <w:shd w:val="clear" w:color="auto" w:fill="auto"/>
            <w:noWrap/>
            <w:vAlign w:val="center"/>
            <w:hideMark/>
          </w:tcPr>
          <w:p w14:paraId="2B6176F9" w14:textId="77777777" w:rsidR="00A37B53" w:rsidRPr="00A37B53" w:rsidRDefault="00A37B53" w:rsidP="00A37B53">
            <w:pPr>
              <w:spacing w:after="0" w:line="240" w:lineRule="auto"/>
              <w:rPr>
                <w:rFonts w:ascii="Times New Roman" w:eastAsia="Times New Roman" w:hAnsi="Times New Roman"/>
                <w:color w:val="000000"/>
                <w:sz w:val="20"/>
                <w:szCs w:val="20"/>
              </w:rPr>
            </w:pPr>
            <w:r>
              <w:rPr>
                <w:rFonts w:ascii="Times New Roman" w:hAnsi="Times New Roman"/>
                <w:color w:val="000000"/>
                <w:sz w:val="20"/>
              </w:rPr>
              <w:t>North</w:t>
            </w:r>
          </w:p>
        </w:tc>
        <w:tc>
          <w:tcPr>
            <w:tcW w:w="647" w:type="pct"/>
            <w:tcBorders>
              <w:top w:val="single" w:sz="4" w:space="0" w:color="auto"/>
              <w:left w:val="single" w:sz="4" w:space="0" w:color="auto"/>
              <w:bottom w:val="single" w:sz="4" w:space="0" w:color="auto"/>
              <w:right w:val="single" w:sz="4" w:space="0" w:color="auto"/>
            </w:tcBorders>
            <w:shd w:val="clear" w:color="000000" w:fill="75C68B"/>
            <w:noWrap/>
            <w:vAlign w:val="center"/>
            <w:hideMark/>
          </w:tcPr>
          <w:p w14:paraId="551DEA06" w14:textId="77777777" w:rsidR="00A37B53" w:rsidRPr="00A37B53" w:rsidRDefault="00A37B53" w:rsidP="00A37B53">
            <w:pPr>
              <w:spacing w:after="0" w:line="240" w:lineRule="auto"/>
              <w:jc w:val="center"/>
              <w:rPr>
                <w:rFonts w:ascii="Times New Roman" w:eastAsia="Times New Roman" w:hAnsi="Times New Roman"/>
                <w:color w:val="000000"/>
                <w:sz w:val="20"/>
                <w:szCs w:val="20"/>
              </w:rPr>
            </w:pPr>
            <w:r>
              <w:rPr>
                <w:rFonts w:ascii="Times New Roman" w:hAnsi="Times New Roman"/>
                <w:color w:val="000000"/>
                <w:sz w:val="20"/>
              </w:rPr>
              <w:t>17.2</w:t>
            </w:r>
          </w:p>
        </w:tc>
        <w:tc>
          <w:tcPr>
            <w:tcW w:w="647" w:type="pct"/>
            <w:tcBorders>
              <w:top w:val="single" w:sz="4" w:space="0" w:color="auto"/>
              <w:left w:val="single" w:sz="4" w:space="0" w:color="auto"/>
              <w:bottom w:val="single" w:sz="4" w:space="0" w:color="auto"/>
              <w:right w:val="single" w:sz="4" w:space="0" w:color="auto"/>
            </w:tcBorders>
            <w:shd w:val="clear" w:color="000000" w:fill="F9FBFD"/>
            <w:noWrap/>
            <w:vAlign w:val="center"/>
            <w:hideMark/>
          </w:tcPr>
          <w:p w14:paraId="77A7D187" w14:textId="77777777" w:rsidR="00A37B53" w:rsidRPr="00A37B53" w:rsidRDefault="00A37B53" w:rsidP="00A37B53">
            <w:pPr>
              <w:spacing w:after="0" w:line="240" w:lineRule="auto"/>
              <w:jc w:val="center"/>
              <w:rPr>
                <w:rFonts w:ascii="Times New Roman" w:eastAsia="Times New Roman" w:hAnsi="Times New Roman"/>
                <w:color w:val="000000"/>
                <w:sz w:val="20"/>
                <w:szCs w:val="20"/>
              </w:rPr>
            </w:pPr>
            <w:r>
              <w:rPr>
                <w:rFonts w:ascii="Times New Roman" w:hAnsi="Times New Roman"/>
                <w:color w:val="000000"/>
                <w:sz w:val="20"/>
              </w:rPr>
              <w:t>0.9</w:t>
            </w:r>
          </w:p>
        </w:tc>
        <w:tc>
          <w:tcPr>
            <w:tcW w:w="647" w:type="pct"/>
            <w:tcBorders>
              <w:top w:val="single" w:sz="4" w:space="0" w:color="auto"/>
              <w:left w:val="single" w:sz="4" w:space="0" w:color="auto"/>
              <w:bottom w:val="single" w:sz="4" w:space="0" w:color="auto"/>
              <w:right w:val="single" w:sz="4" w:space="0" w:color="auto"/>
            </w:tcBorders>
            <w:shd w:val="clear" w:color="000000" w:fill="FAFCFD"/>
            <w:noWrap/>
            <w:vAlign w:val="center"/>
            <w:hideMark/>
          </w:tcPr>
          <w:p w14:paraId="7C1E10B7" w14:textId="77777777" w:rsidR="00A37B53" w:rsidRPr="00A37B53" w:rsidRDefault="00A37B53" w:rsidP="00A37B53">
            <w:pPr>
              <w:spacing w:after="0" w:line="240" w:lineRule="auto"/>
              <w:jc w:val="center"/>
              <w:rPr>
                <w:rFonts w:ascii="Times New Roman" w:eastAsia="Times New Roman" w:hAnsi="Times New Roman"/>
                <w:color w:val="000000"/>
                <w:sz w:val="20"/>
                <w:szCs w:val="20"/>
              </w:rPr>
            </w:pPr>
            <w:r>
              <w:rPr>
                <w:rFonts w:ascii="Times New Roman" w:hAnsi="Times New Roman"/>
                <w:color w:val="000000"/>
                <w:sz w:val="20"/>
              </w:rPr>
              <w:t>0.8</w:t>
            </w:r>
          </w:p>
        </w:tc>
        <w:tc>
          <w:tcPr>
            <w:tcW w:w="647" w:type="pct"/>
            <w:tcBorders>
              <w:top w:val="single" w:sz="4" w:space="0" w:color="auto"/>
              <w:left w:val="single" w:sz="4" w:space="0" w:color="auto"/>
              <w:bottom w:val="single" w:sz="4" w:space="0" w:color="auto"/>
              <w:right w:val="single" w:sz="4" w:space="0" w:color="auto"/>
            </w:tcBorders>
            <w:shd w:val="clear" w:color="000000" w:fill="FCFCFF"/>
            <w:noWrap/>
            <w:vAlign w:val="center"/>
            <w:hideMark/>
          </w:tcPr>
          <w:p w14:paraId="2874333E" w14:textId="77777777" w:rsidR="00A37B53" w:rsidRPr="00A37B53" w:rsidRDefault="00A37B53" w:rsidP="00A37B53">
            <w:pPr>
              <w:spacing w:after="0" w:line="240" w:lineRule="auto"/>
              <w:jc w:val="center"/>
              <w:rPr>
                <w:rFonts w:ascii="Times New Roman" w:eastAsia="Times New Roman" w:hAnsi="Times New Roman"/>
                <w:color w:val="000000"/>
                <w:sz w:val="20"/>
                <w:szCs w:val="20"/>
              </w:rPr>
            </w:pPr>
            <w:r>
              <w:rPr>
                <w:rFonts w:ascii="Times New Roman" w:hAnsi="Times New Roman"/>
                <w:color w:val="000000"/>
                <w:sz w:val="20"/>
              </w:rPr>
              <w:t>0.6</w:t>
            </w:r>
          </w:p>
        </w:tc>
        <w:tc>
          <w:tcPr>
            <w:tcW w:w="647" w:type="pct"/>
            <w:tcBorders>
              <w:top w:val="single" w:sz="4" w:space="0" w:color="auto"/>
              <w:left w:val="single" w:sz="4" w:space="0" w:color="auto"/>
              <w:bottom w:val="single" w:sz="4" w:space="0" w:color="auto"/>
              <w:right w:val="nil"/>
            </w:tcBorders>
            <w:shd w:val="clear" w:color="000000" w:fill="FBFCFE"/>
            <w:noWrap/>
            <w:vAlign w:val="center"/>
            <w:hideMark/>
          </w:tcPr>
          <w:p w14:paraId="0CDEA79F" w14:textId="77777777" w:rsidR="00A37B53" w:rsidRPr="00A37B53" w:rsidRDefault="00A37B53" w:rsidP="00A37B53">
            <w:pPr>
              <w:spacing w:after="0" w:line="240" w:lineRule="auto"/>
              <w:jc w:val="center"/>
              <w:rPr>
                <w:rFonts w:ascii="Times New Roman" w:eastAsia="Times New Roman" w:hAnsi="Times New Roman"/>
                <w:color w:val="000000"/>
                <w:sz w:val="20"/>
                <w:szCs w:val="20"/>
              </w:rPr>
            </w:pPr>
            <w:r>
              <w:rPr>
                <w:rFonts w:ascii="Times New Roman" w:hAnsi="Times New Roman"/>
                <w:color w:val="000000"/>
                <w:sz w:val="20"/>
              </w:rPr>
              <w:t>0.7</w:t>
            </w:r>
          </w:p>
        </w:tc>
      </w:tr>
      <w:tr w:rsidR="00A37B53" w:rsidRPr="00A37B53" w14:paraId="4CD0BE27" w14:textId="77777777" w:rsidTr="00385866">
        <w:trPr>
          <w:cantSplit/>
          <w:trHeight w:val="180"/>
          <w:jc w:val="center"/>
        </w:trPr>
        <w:tc>
          <w:tcPr>
            <w:tcW w:w="896" w:type="pct"/>
            <w:vMerge/>
            <w:tcBorders>
              <w:top w:val="nil"/>
              <w:left w:val="nil"/>
              <w:bottom w:val="single" w:sz="4" w:space="0" w:color="auto"/>
              <w:right w:val="single" w:sz="4" w:space="0" w:color="auto"/>
            </w:tcBorders>
            <w:vAlign w:val="center"/>
            <w:hideMark/>
          </w:tcPr>
          <w:p w14:paraId="76CF135B" w14:textId="77777777" w:rsidR="00A37B53" w:rsidRPr="00A37B53" w:rsidRDefault="00A37B53" w:rsidP="00A37B53">
            <w:pPr>
              <w:spacing w:after="0" w:line="240" w:lineRule="auto"/>
              <w:rPr>
                <w:rFonts w:ascii="Times New Roman" w:eastAsia="Times New Roman" w:hAnsi="Times New Roman"/>
                <w:b/>
                <w:bCs/>
                <w:color w:val="000000"/>
                <w:sz w:val="20"/>
                <w:szCs w:val="20"/>
                <w:lang w:eastAsia="pt-BR"/>
              </w:rPr>
            </w:pPr>
          </w:p>
        </w:tc>
        <w:tc>
          <w:tcPr>
            <w:tcW w:w="869" w:type="pct"/>
            <w:tcBorders>
              <w:top w:val="nil"/>
              <w:left w:val="nil"/>
              <w:bottom w:val="single" w:sz="4" w:space="0" w:color="auto"/>
              <w:right w:val="single" w:sz="4" w:space="0" w:color="auto"/>
            </w:tcBorders>
            <w:shd w:val="clear" w:color="auto" w:fill="auto"/>
            <w:noWrap/>
            <w:vAlign w:val="center"/>
            <w:hideMark/>
          </w:tcPr>
          <w:p w14:paraId="01269248" w14:textId="77777777" w:rsidR="00A37B53" w:rsidRPr="00A37B53" w:rsidRDefault="00A37B53" w:rsidP="00A37B53">
            <w:pPr>
              <w:spacing w:after="0" w:line="240" w:lineRule="auto"/>
              <w:rPr>
                <w:rFonts w:ascii="Times New Roman" w:eastAsia="Times New Roman" w:hAnsi="Times New Roman"/>
                <w:color w:val="000000"/>
                <w:sz w:val="20"/>
                <w:szCs w:val="20"/>
              </w:rPr>
            </w:pPr>
            <w:r>
              <w:rPr>
                <w:rFonts w:ascii="Times New Roman" w:hAnsi="Times New Roman"/>
                <w:color w:val="000000"/>
                <w:sz w:val="20"/>
              </w:rPr>
              <w:t>Northeast</w:t>
            </w:r>
          </w:p>
        </w:tc>
        <w:tc>
          <w:tcPr>
            <w:tcW w:w="647" w:type="pct"/>
            <w:tcBorders>
              <w:top w:val="single" w:sz="4" w:space="0" w:color="auto"/>
              <w:left w:val="single" w:sz="4" w:space="0" w:color="auto"/>
              <w:bottom w:val="single" w:sz="4" w:space="0" w:color="auto"/>
              <w:right w:val="single" w:sz="4" w:space="0" w:color="auto"/>
            </w:tcBorders>
            <w:shd w:val="clear" w:color="000000" w:fill="FCFCFF"/>
            <w:noWrap/>
            <w:vAlign w:val="center"/>
            <w:hideMark/>
          </w:tcPr>
          <w:p w14:paraId="3FC69053" w14:textId="77777777" w:rsidR="00A37B53" w:rsidRPr="00A37B53" w:rsidRDefault="00A37B53" w:rsidP="00A37B53">
            <w:pPr>
              <w:spacing w:after="0" w:line="240" w:lineRule="auto"/>
              <w:jc w:val="center"/>
              <w:rPr>
                <w:rFonts w:ascii="Times New Roman" w:eastAsia="Times New Roman" w:hAnsi="Times New Roman"/>
                <w:color w:val="000000"/>
                <w:sz w:val="20"/>
                <w:szCs w:val="20"/>
              </w:rPr>
            </w:pPr>
            <w:r>
              <w:rPr>
                <w:rFonts w:ascii="Times New Roman" w:hAnsi="Times New Roman"/>
                <w:color w:val="000000"/>
                <w:sz w:val="20"/>
              </w:rPr>
              <w:t>0.6</w:t>
            </w:r>
          </w:p>
        </w:tc>
        <w:tc>
          <w:tcPr>
            <w:tcW w:w="647" w:type="pct"/>
            <w:tcBorders>
              <w:top w:val="single" w:sz="4" w:space="0" w:color="auto"/>
              <w:left w:val="single" w:sz="4" w:space="0" w:color="auto"/>
              <w:bottom w:val="single" w:sz="4" w:space="0" w:color="auto"/>
              <w:right w:val="single" w:sz="4" w:space="0" w:color="auto"/>
            </w:tcBorders>
            <w:shd w:val="clear" w:color="000000" w:fill="A4D9B3"/>
            <w:noWrap/>
            <w:vAlign w:val="center"/>
            <w:hideMark/>
          </w:tcPr>
          <w:p w14:paraId="3F9B9486" w14:textId="77777777" w:rsidR="00A37B53" w:rsidRPr="00A37B53" w:rsidRDefault="00A37B53" w:rsidP="00A37B53">
            <w:pPr>
              <w:spacing w:after="0" w:line="240" w:lineRule="auto"/>
              <w:jc w:val="center"/>
              <w:rPr>
                <w:rFonts w:ascii="Times New Roman" w:eastAsia="Times New Roman" w:hAnsi="Times New Roman"/>
                <w:color w:val="000000"/>
                <w:sz w:val="20"/>
                <w:szCs w:val="20"/>
              </w:rPr>
            </w:pPr>
            <w:r>
              <w:rPr>
                <w:rFonts w:ascii="Times New Roman" w:hAnsi="Times New Roman"/>
                <w:color w:val="000000"/>
                <w:sz w:val="20"/>
              </w:rPr>
              <w:t>11.4</w:t>
            </w:r>
          </w:p>
        </w:tc>
        <w:tc>
          <w:tcPr>
            <w:tcW w:w="647" w:type="pct"/>
            <w:tcBorders>
              <w:top w:val="single" w:sz="4" w:space="0" w:color="auto"/>
              <w:left w:val="single" w:sz="4" w:space="0" w:color="auto"/>
              <w:bottom w:val="single" w:sz="4" w:space="0" w:color="auto"/>
              <w:right w:val="single" w:sz="4" w:space="0" w:color="auto"/>
            </w:tcBorders>
            <w:shd w:val="clear" w:color="000000" w:fill="FCFCFF"/>
            <w:noWrap/>
            <w:vAlign w:val="center"/>
            <w:hideMark/>
          </w:tcPr>
          <w:p w14:paraId="4E9DABD9" w14:textId="77777777" w:rsidR="00A37B53" w:rsidRPr="00A37B53" w:rsidRDefault="00A37B53" w:rsidP="00A37B53">
            <w:pPr>
              <w:spacing w:after="0" w:line="240" w:lineRule="auto"/>
              <w:jc w:val="center"/>
              <w:rPr>
                <w:rFonts w:ascii="Times New Roman" w:eastAsia="Times New Roman" w:hAnsi="Times New Roman"/>
                <w:color w:val="000000"/>
                <w:sz w:val="20"/>
                <w:szCs w:val="20"/>
              </w:rPr>
            </w:pPr>
            <w:r>
              <w:rPr>
                <w:rFonts w:ascii="Times New Roman" w:hAnsi="Times New Roman"/>
                <w:color w:val="000000"/>
                <w:sz w:val="20"/>
              </w:rPr>
              <w:t>0.6</w:t>
            </w:r>
          </w:p>
        </w:tc>
        <w:tc>
          <w:tcPr>
            <w:tcW w:w="647" w:type="pct"/>
            <w:tcBorders>
              <w:top w:val="single" w:sz="4" w:space="0" w:color="auto"/>
              <w:left w:val="single" w:sz="4" w:space="0" w:color="auto"/>
              <w:bottom w:val="single" w:sz="4" w:space="0" w:color="auto"/>
              <w:right w:val="single" w:sz="4" w:space="0" w:color="auto"/>
            </w:tcBorders>
            <w:shd w:val="clear" w:color="000000" w:fill="FCFCFF"/>
            <w:noWrap/>
            <w:vAlign w:val="center"/>
            <w:hideMark/>
          </w:tcPr>
          <w:p w14:paraId="11D69580" w14:textId="77777777" w:rsidR="00A37B53" w:rsidRPr="00A37B53" w:rsidRDefault="00A37B53" w:rsidP="00A37B53">
            <w:pPr>
              <w:spacing w:after="0" w:line="240" w:lineRule="auto"/>
              <w:jc w:val="center"/>
              <w:rPr>
                <w:rFonts w:ascii="Times New Roman" w:eastAsia="Times New Roman" w:hAnsi="Times New Roman"/>
                <w:color w:val="000000"/>
                <w:sz w:val="20"/>
                <w:szCs w:val="20"/>
              </w:rPr>
            </w:pPr>
            <w:r>
              <w:rPr>
                <w:rFonts w:ascii="Times New Roman" w:hAnsi="Times New Roman"/>
                <w:color w:val="000000"/>
                <w:sz w:val="20"/>
              </w:rPr>
              <w:t>0.6</w:t>
            </w:r>
          </w:p>
        </w:tc>
        <w:tc>
          <w:tcPr>
            <w:tcW w:w="647" w:type="pct"/>
            <w:tcBorders>
              <w:top w:val="single" w:sz="4" w:space="0" w:color="auto"/>
              <w:left w:val="single" w:sz="4" w:space="0" w:color="auto"/>
              <w:bottom w:val="single" w:sz="4" w:space="0" w:color="auto"/>
              <w:right w:val="nil"/>
            </w:tcBorders>
            <w:shd w:val="clear" w:color="000000" w:fill="FCFCFF"/>
            <w:noWrap/>
            <w:vAlign w:val="center"/>
            <w:hideMark/>
          </w:tcPr>
          <w:p w14:paraId="70321807" w14:textId="77777777" w:rsidR="00A37B53" w:rsidRPr="00A37B53" w:rsidRDefault="00A37B53" w:rsidP="00A37B53">
            <w:pPr>
              <w:spacing w:after="0" w:line="240" w:lineRule="auto"/>
              <w:jc w:val="center"/>
              <w:rPr>
                <w:rFonts w:ascii="Times New Roman" w:eastAsia="Times New Roman" w:hAnsi="Times New Roman"/>
                <w:color w:val="000000"/>
                <w:sz w:val="20"/>
                <w:szCs w:val="20"/>
              </w:rPr>
            </w:pPr>
            <w:r>
              <w:rPr>
                <w:rFonts w:ascii="Times New Roman" w:hAnsi="Times New Roman"/>
                <w:color w:val="000000"/>
                <w:sz w:val="20"/>
              </w:rPr>
              <w:t>0.5</w:t>
            </w:r>
          </w:p>
        </w:tc>
      </w:tr>
      <w:tr w:rsidR="00A37B53" w:rsidRPr="00A37B53" w14:paraId="54F246F6" w14:textId="77777777" w:rsidTr="00385866">
        <w:trPr>
          <w:cantSplit/>
          <w:trHeight w:val="180"/>
          <w:jc w:val="center"/>
        </w:trPr>
        <w:tc>
          <w:tcPr>
            <w:tcW w:w="896" w:type="pct"/>
            <w:vMerge/>
            <w:tcBorders>
              <w:top w:val="nil"/>
              <w:left w:val="nil"/>
              <w:bottom w:val="single" w:sz="4" w:space="0" w:color="auto"/>
              <w:right w:val="single" w:sz="4" w:space="0" w:color="auto"/>
            </w:tcBorders>
            <w:vAlign w:val="center"/>
            <w:hideMark/>
          </w:tcPr>
          <w:p w14:paraId="7F1BB083" w14:textId="77777777" w:rsidR="00A37B53" w:rsidRPr="00A37B53" w:rsidRDefault="00A37B53" w:rsidP="00A37B53">
            <w:pPr>
              <w:spacing w:after="0" w:line="240" w:lineRule="auto"/>
              <w:rPr>
                <w:rFonts w:ascii="Times New Roman" w:eastAsia="Times New Roman" w:hAnsi="Times New Roman"/>
                <w:b/>
                <w:bCs/>
                <w:color w:val="000000"/>
                <w:sz w:val="20"/>
                <w:szCs w:val="20"/>
                <w:lang w:eastAsia="pt-BR"/>
              </w:rPr>
            </w:pPr>
          </w:p>
        </w:tc>
        <w:tc>
          <w:tcPr>
            <w:tcW w:w="869" w:type="pct"/>
            <w:tcBorders>
              <w:top w:val="nil"/>
              <w:left w:val="nil"/>
              <w:bottom w:val="single" w:sz="4" w:space="0" w:color="auto"/>
              <w:right w:val="single" w:sz="4" w:space="0" w:color="auto"/>
            </w:tcBorders>
            <w:shd w:val="clear" w:color="auto" w:fill="auto"/>
            <w:noWrap/>
            <w:vAlign w:val="center"/>
            <w:hideMark/>
          </w:tcPr>
          <w:p w14:paraId="644F8354" w14:textId="77777777" w:rsidR="00A37B53" w:rsidRPr="00A37B53" w:rsidRDefault="00A37B53" w:rsidP="00A37B53">
            <w:pPr>
              <w:spacing w:after="0" w:line="240" w:lineRule="auto"/>
              <w:rPr>
                <w:rFonts w:ascii="Times New Roman" w:eastAsia="Times New Roman" w:hAnsi="Times New Roman"/>
                <w:color w:val="000000"/>
                <w:sz w:val="20"/>
                <w:szCs w:val="20"/>
              </w:rPr>
            </w:pPr>
            <w:r>
              <w:rPr>
                <w:rFonts w:ascii="Times New Roman" w:hAnsi="Times New Roman"/>
                <w:color w:val="000000"/>
                <w:sz w:val="20"/>
              </w:rPr>
              <w:t>Southeast</w:t>
            </w:r>
          </w:p>
        </w:tc>
        <w:tc>
          <w:tcPr>
            <w:tcW w:w="647" w:type="pct"/>
            <w:tcBorders>
              <w:top w:val="single" w:sz="4" w:space="0" w:color="auto"/>
              <w:left w:val="single" w:sz="4" w:space="0" w:color="auto"/>
              <w:bottom w:val="single" w:sz="4" w:space="0" w:color="auto"/>
              <w:right w:val="single" w:sz="4" w:space="0" w:color="auto"/>
            </w:tcBorders>
            <w:shd w:val="clear" w:color="000000" w:fill="D4ECDD"/>
            <w:noWrap/>
            <w:vAlign w:val="center"/>
            <w:hideMark/>
          </w:tcPr>
          <w:p w14:paraId="596E2387" w14:textId="77777777" w:rsidR="00A37B53" w:rsidRPr="00A37B53" w:rsidRDefault="00A37B53" w:rsidP="00A37B53">
            <w:pPr>
              <w:spacing w:after="0" w:line="240" w:lineRule="auto"/>
              <w:jc w:val="center"/>
              <w:rPr>
                <w:rFonts w:ascii="Times New Roman" w:eastAsia="Times New Roman" w:hAnsi="Times New Roman"/>
                <w:color w:val="000000"/>
                <w:sz w:val="20"/>
                <w:szCs w:val="20"/>
              </w:rPr>
            </w:pPr>
            <w:r>
              <w:rPr>
                <w:rFonts w:ascii="Times New Roman" w:hAnsi="Times New Roman"/>
                <w:color w:val="000000"/>
                <w:sz w:val="20"/>
              </w:rPr>
              <w:t>5.5</w:t>
            </w:r>
          </w:p>
        </w:tc>
        <w:tc>
          <w:tcPr>
            <w:tcW w:w="647" w:type="pct"/>
            <w:tcBorders>
              <w:top w:val="single" w:sz="4" w:space="0" w:color="auto"/>
              <w:left w:val="single" w:sz="4" w:space="0" w:color="auto"/>
              <w:bottom w:val="single" w:sz="4" w:space="0" w:color="auto"/>
              <w:right w:val="single" w:sz="4" w:space="0" w:color="auto"/>
            </w:tcBorders>
            <w:shd w:val="clear" w:color="000000" w:fill="C0E4CB"/>
            <w:noWrap/>
            <w:vAlign w:val="center"/>
            <w:hideMark/>
          </w:tcPr>
          <w:p w14:paraId="7155CF1A" w14:textId="77777777" w:rsidR="00A37B53" w:rsidRPr="00A37B53" w:rsidRDefault="00A37B53" w:rsidP="00A37B53">
            <w:pPr>
              <w:spacing w:after="0" w:line="240" w:lineRule="auto"/>
              <w:jc w:val="center"/>
              <w:rPr>
                <w:rFonts w:ascii="Times New Roman" w:eastAsia="Times New Roman" w:hAnsi="Times New Roman"/>
                <w:color w:val="000000"/>
                <w:sz w:val="20"/>
                <w:szCs w:val="20"/>
              </w:rPr>
            </w:pPr>
            <w:r>
              <w:rPr>
                <w:rFonts w:ascii="Times New Roman" w:hAnsi="Times New Roman"/>
                <w:color w:val="000000"/>
                <w:sz w:val="20"/>
              </w:rPr>
              <w:t>8.0</w:t>
            </w:r>
          </w:p>
        </w:tc>
        <w:tc>
          <w:tcPr>
            <w:tcW w:w="647" w:type="pct"/>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03F70937" w14:textId="77777777" w:rsidR="00A37B53" w:rsidRPr="00A37B53" w:rsidRDefault="00A37B53" w:rsidP="00A37B53">
            <w:pPr>
              <w:spacing w:after="0" w:line="240" w:lineRule="auto"/>
              <w:jc w:val="center"/>
              <w:rPr>
                <w:rFonts w:ascii="Times New Roman" w:eastAsia="Times New Roman" w:hAnsi="Times New Roman"/>
                <w:color w:val="000000"/>
                <w:sz w:val="20"/>
                <w:szCs w:val="20"/>
              </w:rPr>
            </w:pPr>
            <w:r>
              <w:rPr>
                <w:rFonts w:ascii="Times New Roman" w:hAnsi="Times New Roman"/>
                <w:color w:val="000000"/>
                <w:sz w:val="20"/>
              </w:rPr>
              <w:t>19.5</w:t>
            </w:r>
          </w:p>
        </w:tc>
        <w:tc>
          <w:tcPr>
            <w:tcW w:w="647" w:type="pct"/>
            <w:tcBorders>
              <w:top w:val="single" w:sz="4" w:space="0" w:color="auto"/>
              <w:left w:val="single" w:sz="4" w:space="0" w:color="auto"/>
              <w:bottom w:val="single" w:sz="4" w:space="0" w:color="auto"/>
              <w:right w:val="single" w:sz="4" w:space="0" w:color="auto"/>
            </w:tcBorders>
            <w:shd w:val="clear" w:color="000000" w:fill="C7E7D1"/>
            <w:noWrap/>
            <w:vAlign w:val="center"/>
            <w:hideMark/>
          </w:tcPr>
          <w:p w14:paraId="372944B2" w14:textId="77777777" w:rsidR="00A37B53" w:rsidRPr="00A37B53" w:rsidRDefault="00A37B53" w:rsidP="00A37B53">
            <w:pPr>
              <w:spacing w:after="0" w:line="240" w:lineRule="auto"/>
              <w:jc w:val="center"/>
              <w:rPr>
                <w:rFonts w:ascii="Times New Roman" w:eastAsia="Times New Roman" w:hAnsi="Times New Roman"/>
                <w:color w:val="000000"/>
                <w:sz w:val="20"/>
                <w:szCs w:val="20"/>
              </w:rPr>
            </w:pPr>
            <w:r>
              <w:rPr>
                <w:rFonts w:ascii="Times New Roman" w:hAnsi="Times New Roman"/>
                <w:color w:val="000000"/>
                <w:sz w:val="20"/>
              </w:rPr>
              <w:t>7.1</w:t>
            </w:r>
          </w:p>
        </w:tc>
        <w:tc>
          <w:tcPr>
            <w:tcW w:w="647" w:type="pct"/>
            <w:tcBorders>
              <w:top w:val="single" w:sz="4" w:space="0" w:color="auto"/>
              <w:left w:val="single" w:sz="4" w:space="0" w:color="auto"/>
              <w:bottom w:val="single" w:sz="4" w:space="0" w:color="auto"/>
              <w:right w:val="nil"/>
            </w:tcBorders>
            <w:shd w:val="clear" w:color="000000" w:fill="C9E8D3"/>
            <w:noWrap/>
            <w:vAlign w:val="center"/>
            <w:hideMark/>
          </w:tcPr>
          <w:p w14:paraId="453D1F9B" w14:textId="77777777" w:rsidR="00A37B53" w:rsidRPr="00A37B53" w:rsidRDefault="00A37B53" w:rsidP="00A37B53">
            <w:pPr>
              <w:spacing w:after="0" w:line="240" w:lineRule="auto"/>
              <w:jc w:val="center"/>
              <w:rPr>
                <w:rFonts w:ascii="Times New Roman" w:eastAsia="Times New Roman" w:hAnsi="Times New Roman"/>
                <w:color w:val="000000"/>
                <w:sz w:val="20"/>
                <w:szCs w:val="20"/>
              </w:rPr>
            </w:pPr>
            <w:r>
              <w:rPr>
                <w:rFonts w:ascii="Times New Roman" w:hAnsi="Times New Roman"/>
                <w:color w:val="000000"/>
                <w:sz w:val="20"/>
              </w:rPr>
              <w:t>6.9</w:t>
            </w:r>
          </w:p>
        </w:tc>
      </w:tr>
      <w:tr w:rsidR="00A37B53" w:rsidRPr="00A37B53" w14:paraId="627C6BC9" w14:textId="77777777" w:rsidTr="00385866">
        <w:trPr>
          <w:cantSplit/>
          <w:trHeight w:val="180"/>
          <w:jc w:val="center"/>
        </w:trPr>
        <w:tc>
          <w:tcPr>
            <w:tcW w:w="896" w:type="pct"/>
            <w:vMerge/>
            <w:tcBorders>
              <w:top w:val="nil"/>
              <w:left w:val="nil"/>
              <w:bottom w:val="single" w:sz="4" w:space="0" w:color="auto"/>
              <w:right w:val="single" w:sz="4" w:space="0" w:color="auto"/>
            </w:tcBorders>
            <w:vAlign w:val="center"/>
            <w:hideMark/>
          </w:tcPr>
          <w:p w14:paraId="6D993A69" w14:textId="77777777" w:rsidR="00A37B53" w:rsidRPr="00A37B53" w:rsidRDefault="00A37B53" w:rsidP="00A37B53">
            <w:pPr>
              <w:spacing w:after="0" w:line="240" w:lineRule="auto"/>
              <w:rPr>
                <w:rFonts w:ascii="Times New Roman" w:eastAsia="Times New Roman" w:hAnsi="Times New Roman"/>
                <w:b/>
                <w:bCs/>
                <w:color w:val="000000"/>
                <w:sz w:val="20"/>
                <w:szCs w:val="20"/>
                <w:lang w:eastAsia="pt-BR"/>
              </w:rPr>
            </w:pPr>
          </w:p>
        </w:tc>
        <w:tc>
          <w:tcPr>
            <w:tcW w:w="869" w:type="pct"/>
            <w:tcBorders>
              <w:top w:val="nil"/>
              <w:left w:val="nil"/>
              <w:bottom w:val="single" w:sz="4" w:space="0" w:color="auto"/>
              <w:right w:val="single" w:sz="4" w:space="0" w:color="auto"/>
            </w:tcBorders>
            <w:shd w:val="clear" w:color="auto" w:fill="auto"/>
            <w:noWrap/>
            <w:vAlign w:val="center"/>
            <w:hideMark/>
          </w:tcPr>
          <w:p w14:paraId="2A62AF54" w14:textId="77777777" w:rsidR="00A37B53" w:rsidRPr="00A37B53" w:rsidRDefault="00A37B53" w:rsidP="00A37B53">
            <w:pPr>
              <w:spacing w:after="0" w:line="240" w:lineRule="auto"/>
              <w:rPr>
                <w:rFonts w:ascii="Times New Roman" w:eastAsia="Times New Roman" w:hAnsi="Times New Roman"/>
                <w:color w:val="000000"/>
                <w:sz w:val="20"/>
                <w:szCs w:val="20"/>
              </w:rPr>
            </w:pPr>
            <w:r>
              <w:rPr>
                <w:rFonts w:ascii="Times New Roman" w:hAnsi="Times New Roman"/>
                <w:color w:val="000000"/>
                <w:sz w:val="20"/>
              </w:rPr>
              <w:t>South</w:t>
            </w:r>
          </w:p>
        </w:tc>
        <w:tc>
          <w:tcPr>
            <w:tcW w:w="647" w:type="pct"/>
            <w:tcBorders>
              <w:top w:val="single" w:sz="4" w:space="0" w:color="auto"/>
              <w:left w:val="single" w:sz="4" w:space="0" w:color="auto"/>
              <w:bottom w:val="single" w:sz="4" w:space="0" w:color="auto"/>
              <w:right w:val="single" w:sz="4" w:space="0" w:color="auto"/>
            </w:tcBorders>
            <w:shd w:val="clear" w:color="000000" w:fill="FCFCFF"/>
            <w:noWrap/>
            <w:vAlign w:val="center"/>
            <w:hideMark/>
          </w:tcPr>
          <w:p w14:paraId="26ECF39F" w14:textId="77777777" w:rsidR="00A37B53" w:rsidRPr="00A37B53" w:rsidRDefault="00A37B53" w:rsidP="00A37B53">
            <w:pPr>
              <w:spacing w:after="0" w:line="240" w:lineRule="auto"/>
              <w:jc w:val="center"/>
              <w:rPr>
                <w:rFonts w:ascii="Times New Roman" w:eastAsia="Times New Roman" w:hAnsi="Times New Roman"/>
                <w:color w:val="000000"/>
                <w:sz w:val="20"/>
                <w:szCs w:val="20"/>
              </w:rPr>
            </w:pPr>
            <w:r>
              <w:rPr>
                <w:rFonts w:ascii="Times New Roman" w:hAnsi="Times New Roman"/>
                <w:color w:val="000000"/>
                <w:sz w:val="20"/>
              </w:rPr>
              <w:t>0.5</w:t>
            </w:r>
          </w:p>
        </w:tc>
        <w:tc>
          <w:tcPr>
            <w:tcW w:w="647" w:type="pct"/>
            <w:tcBorders>
              <w:top w:val="single" w:sz="4" w:space="0" w:color="auto"/>
              <w:left w:val="single" w:sz="4" w:space="0" w:color="auto"/>
              <w:bottom w:val="single" w:sz="4" w:space="0" w:color="auto"/>
              <w:right w:val="single" w:sz="4" w:space="0" w:color="auto"/>
            </w:tcBorders>
            <w:shd w:val="clear" w:color="000000" w:fill="FBFCFE"/>
            <w:noWrap/>
            <w:vAlign w:val="center"/>
            <w:hideMark/>
          </w:tcPr>
          <w:p w14:paraId="6B4AE6E3" w14:textId="77777777" w:rsidR="00A37B53" w:rsidRPr="00A37B53" w:rsidRDefault="00A37B53" w:rsidP="00A37B53">
            <w:pPr>
              <w:spacing w:after="0" w:line="240" w:lineRule="auto"/>
              <w:jc w:val="center"/>
              <w:rPr>
                <w:rFonts w:ascii="Times New Roman" w:eastAsia="Times New Roman" w:hAnsi="Times New Roman"/>
                <w:color w:val="000000"/>
                <w:sz w:val="20"/>
                <w:szCs w:val="20"/>
              </w:rPr>
            </w:pPr>
            <w:r>
              <w:rPr>
                <w:rFonts w:ascii="Times New Roman" w:hAnsi="Times New Roman"/>
                <w:color w:val="000000"/>
                <w:sz w:val="20"/>
              </w:rPr>
              <w:t>0.7</w:t>
            </w:r>
          </w:p>
        </w:tc>
        <w:tc>
          <w:tcPr>
            <w:tcW w:w="647" w:type="pct"/>
            <w:tcBorders>
              <w:top w:val="single" w:sz="4" w:space="0" w:color="auto"/>
              <w:left w:val="single" w:sz="4" w:space="0" w:color="auto"/>
              <w:bottom w:val="single" w:sz="4" w:space="0" w:color="auto"/>
              <w:right w:val="single" w:sz="4" w:space="0" w:color="auto"/>
            </w:tcBorders>
            <w:shd w:val="clear" w:color="000000" w:fill="F6FAFA"/>
            <w:noWrap/>
            <w:vAlign w:val="center"/>
            <w:hideMark/>
          </w:tcPr>
          <w:p w14:paraId="33888149" w14:textId="77777777" w:rsidR="00A37B53" w:rsidRPr="00A37B53" w:rsidRDefault="00A37B53" w:rsidP="00A37B53">
            <w:pPr>
              <w:spacing w:after="0" w:line="240" w:lineRule="auto"/>
              <w:jc w:val="center"/>
              <w:rPr>
                <w:rFonts w:ascii="Times New Roman" w:eastAsia="Times New Roman" w:hAnsi="Times New Roman"/>
                <w:color w:val="000000"/>
                <w:sz w:val="20"/>
                <w:szCs w:val="20"/>
              </w:rPr>
            </w:pPr>
            <w:r>
              <w:rPr>
                <w:rFonts w:ascii="Times New Roman" w:hAnsi="Times New Roman"/>
                <w:color w:val="000000"/>
                <w:sz w:val="20"/>
              </w:rPr>
              <w:t>1.2</w:t>
            </w:r>
          </w:p>
        </w:tc>
        <w:tc>
          <w:tcPr>
            <w:tcW w:w="647" w:type="pct"/>
            <w:tcBorders>
              <w:top w:val="single" w:sz="4" w:space="0" w:color="auto"/>
              <w:left w:val="single" w:sz="4" w:space="0" w:color="auto"/>
              <w:bottom w:val="single" w:sz="4" w:space="0" w:color="auto"/>
              <w:right w:val="single" w:sz="4" w:space="0" w:color="auto"/>
            </w:tcBorders>
            <w:shd w:val="clear" w:color="000000" w:fill="8ED0A0"/>
            <w:noWrap/>
            <w:vAlign w:val="center"/>
            <w:hideMark/>
          </w:tcPr>
          <w:p w14:paraId="16D499E0" w14:textId="77777777" w:rsidR="00A37B53" w:rsidRPr="00A37B53" w:rsidRDefault="00A37B53" w:rsidP="00A37B53">
            <w:pPr>
              <w:spacing w:after="0" w:line="240" w:lineRule="auto"/>
              <w:jc w:val="center"/>
              <w:rPr>
                <w:rFonts w:ascii="Times New Roman" w:eastAsia="Times New Roman" w:hAnsi="Times New Roman"/>
                <w:color w:val="000000"/>
                <w:sz w:val="20"/>
                <w:szCs w:val="20"/>
              </w:rPr>
            </w:pPr>
            <w:r>
              <w:rPr>
                <w:rFonts w:ascii="Times New Roman" w:hAnsi="Times New Roman"/>
                <w:color w:val="000000"/>
                <w:sz w:val="20"/>
              </w:rPr>
              <w:t>14.2</w:t>
            </w:r>
          </w:p>
        </w:tc>
        <w:tc>
          <w:tcPr>
            <w:tcW w:w="647" w:type="pct"/>
            <w:tcBorders>
              <w:top w:val="single" w:sz="4" w:space="0" w:color="auto"/>
              <w:left w:val="single" w:sz="4" w:space="0" w:color="auto"/>
              <w:bottom w:val="single" w:sz="4" w:space="0" w:color="auto"/>
              <w:right w:val="nil"/>
            </w:tcBorders>
            <w:shd w:val="clear" w:color="000000" w:fill="FBFCFF"/>
            <w:noWrap/>
            <w:vAlign w:val="center"/>
            <w:hideMark/>
          </w:tcPr>
          <w:p w14:paraId="751FDD5F" w14:textId="77777777" w:rsidR="00A37B53" w:rsidRPr="00A37B53" w:rsidRDefault="00A37B53" w:rsidP="00A37B53">
            <w:pPr>
              <w:spacing w:after="0" w:line="240" w:lineRule="auto"/>
              <w:jc w:val="center"/>
              <w:rPr>
                <w:rFonts w:ascii="Times New Roman" w:eastAsia="Times New Roman" w:hAnsi="Times New Roman"/>
                <w:color w:val="000000"/>
                <w:sz w:val="20"/>
                <w:szCs w:val="20"/>
              </w:rPr>
            </w:pPr>
            <w:r>
              <w:rPr>
                <w:rFonts w:ascii="Times New Roman" w:hAnsi="Times New Roman"/>
                <w:color w:val="000000"/>
                <w:sz w:val="20"/>
              </w:rPr>
              <w:t>0.6</w:t>
            </w:r>
          </w:p>
        </w:tc>
      </w:tr>
      <w:tr w:rsidR="00A37B53" w:rsidRPr="00A37B53" w14:paraId="724D7264" w14:textId="77777777" w:rsidTr="00385866">
        <w:trPr>
          <w:cantSplit/>
          <w:trHeight w:val="180"/>
          <w:jc w:val="center"/>
        </w:trPr>
        <w:tc>
          <w:tcPr>
            <w:tcW w:w="896" w:type="pct"/>
            <w:vMerge/>
            <w:tcBorders>
              <w:top w:val="nil"/>
              <w:left w:val="nil"/>
              <w:bottom w:val="single" w:sz="4" w:space="0" w:color="auto"/>
              <w:right w:val="single" w:sz="4" w:space="0" w:color="auto"/>
            </w:tcBorders>
            <w:vAlign w:val="center"/>
            <w:hideMark/>
          </w:tcPr>
          <w:p w14:paraId="5A3FFBF9" w14:textId="77777777" w:rsidR="00A37B53" w:rsidRPr="00A37B53" w:rsidRDefault="00A37B53" w:rsidP="00A37B53">
            <w:pPr>
              <w:spacing w:after="0" w:line="240" w:lineRule="auto"/>
              <w:rPr>
                <w:rFonts w:ascii="Times New Roman" w:eastAsia="Times New Roman" w:hAnsi="Times New Roman"/>
                <w:b/>
                <w:bCs/>
                <w:color w:val="000000"/>
                <w:sz w:val="20"/>
                <w:szCs w:val="20"/>
                <w:lang w:eastAsia="pt-BR"/>
              </w:rPr>
            </w:pPr>
          </w:p>
        </w:tc>
        <w:tc>
          <w:tcPr>
            <w:tcW w:w="869" w:type="pct"/>
            <w:tcBorders>
              <w:top w:val="nil"/>
              <w:left w:val="nil"/>
              <w:bottom w:val="single" w:sz="4" w:space="0" w:color="auto"/>
              <w:right w:val="single" w:sz="4" w:space="0" w:color="auto"/>
            </w:tcBorders>
            <w:shd w:val="clear" w:color="auto" w:fill="auto"/>
            <w:noWrap/>
            <w:vAlign w:val="center"/>
            <w:hideMark/>
          </w:tcPr>
          <w:p w14:paraId="63B26642" w14:textId="72BC788B" w:rsidR="00A37B53" w:rsidRPr="00A37B53" w:rsidRDefault="00C03EC0" w:rsidP="00A37B53">
            <w:pPr>
              <w:spacing w:after="0" w:line="240" w:lineRule="auto"/>
              <w:rPr>
                <w:rFonts w:ascii="Times New Roman" w:eastAsia="Times New Roman" w:hAnsi="Times New Roman"/>
                <w:color w:val="000000"/>
                <w:sz w:val="20"/>
                <w:szCs w:val="20"/>
              </w:rPr>
            </w:pPr>
            <w:r>
              <w:rPr>
                <w:rFonts w:ascii="Times New Roman" w:hAnsi="Times New Roman"/>
                <w:color w:val="000000"/>
                <w:sz w:val="20"/>
              </w:rPr>
              <w:t>Midwest</w:t>
            </w:r>
          </w:p>
        </w:tc>
        <w:tc>
          <w:tcPr>
            <w:tcW w:w="647" w:type="pct"/>
            <w:tcBorders>
              <w:top w:val="single" w:sz="4" w:space="0" w:color="auto"/>
              <w:left w:val="single" w:sz="4" w:space="0" w:color="auto"/>
              <w:bottom w:val="single" w:sz="4" w:space="0" w:color="auto"/>
              <w:right w:val="single" w:sz="4" w:space="0" w:color="auto"/>
            </w:tcBorders>
            <w:shd w:val="clear" w:color="000000" w:fill="F9FBFD"/>
            <w:noWrap/>
            <w:vAlign w:val="center"/>
            <w:hideMark/>
          </w:tcPr>
          <w:p w14:paraId="4E09D3E8" w14:textId="77777777" w:rsidR="00A37B53" w:rsidRPr="00A37B53" w:rsidRDefault="00A37B53" w:rsidP="00A37B53">
            <w:pPr>
              <w:spacing w:after="0" w:line="240" w:lineRule="auto"/>
              <w:jc w:val="center"/>
              <w:rPr>
                <w:rFonts w:ascii="Times New Roman" w:eastAsia="Times New Roman" w:hAnsi="Times New Roman"/>
                <w:color w:val="000000"/>
                <w:sz w:val="20"/>
                <w:szCs w:val="20"/>
              </w:rPr>
            </w:pPr>
            <w:r>
              <w:rPr>
                <w:rFonts w:ascii="Times New Roman" w:hAnsi="Times New Roman"/>
                <w:color w:val="000000"/>
                <w:sz w:val="20"/>
              </w:rPr>
              <w:t>0.9</w:t>
            </w:r>
          </w:p>
        </w:tc>
        <w:tc>
          <w:tcPr>
            <w:tcW w:w="647" w:type="pct"/>
            <w:tcBorders>
              <w:top w:val="single" w:sz="4" w:space="0" w:color="auto"/>
              <w:left w:val="single" w:sz="4" w:space="0" w:color="auto"/>
              <w:bottom w:val="single" w:sz="4" w:space="0" w:color="auto"/>
              <w:right w:val="single" w:sz="4" w:space="0" w:color="auto"/>
            </w:tcBorders>
            <w:shd w:val="clear" w:color="000000" w:fill="F7FAFB"/>
            <w:noWrap/>
            <w:vAlign w:val="center"/>
            <w:hideMark/>
          </w:tcPr>
          <w:p w14:paraId="6A1354A1" w14:textId="77777777" w:rsidR="00A37B53" w:rsidRPr="00A37B53" w:rsidRDefault="00A37B53" w:rsidP="00A37B53">
            <w:pPr>
              <w:spacing w:after="0" w:line="240" w:lineRule="auto"/>
              <w:jc w:val="center"/>
              <w:rPr>
                <w:rFonts w:ascii="Times New Roman" w:eastAsia="Times New Roman" w:hAnsi="Times New Roman"/>
                <w:color w:val="000000"/>
                <w:sz w:val="20"/>
                <w:szCs w:val="20"/>
              </w:rPr>
            </w:pPr>
            <w:r>
              <w:rPr>
                <w:rFonts w:ascii="Times New Roman" w:hAnsi="Times New Roman"/>
                <w:color w:val="000000"/>
                <w:sz w:val="20"/>
              </w:rPr>
              <w:t>1.1</w:t>
            </w:r>
          </w:p>
        </w:tc>
        <w:tc>
          <w:tcPr>
            <w:tcW w:w="647" w:type="pct"/>
            <w:tcBorders>
              <w:top w:val="single" w:sz="4" w:space="0" w:color="auto"/>
              <w:left w:val="single" w:sz="4" w:space="0" w:color="auto"/>
              <w:bottom w:val="single" w:sz="4" w:space="0" w:color="auto"/>
              <w:right w:val="single" w:sz="4" w:space="0" w:color="auto"/>
            </w:tcBorders>
            <w:shd w:val="clear" w:color="000000" w:fill="F9FBFC"/>
            <w:noWrap/>
            <w:vAlign w:val="center"/>
            <w:hideMark/>
          </w:tcPr>
          <w:p w14:paraId="02A28D2B" w14:textId="77777777" w:rsidR="00A37B53" w:rsidRPr="00A37B53" w:rsidRDefault="00A37B53" w:rsidP="00A37B53">
            <w:pPr>
              <w:spacing w:after="0" w:line="240" w:lineRule="auto"/>
              <w:jc w:val="center"/>
              <w:rPr>
                <w:rFonts w:ascii="Times New Roman" w:eastAsia="Times New Roman" w:hAnsi="Times New Roman"/>
                <w:color w:val="000000"/>
                <w:sz w:val="20"/>
                <w:szCs w:val="20"/>
              </w:rPr>
            </w:pPr>
            <w:r>
              <w:rPr>
                <w:rFonts w:ascii="Times New Roman" w:hAnsi="Times New Roman"/>
                <w:color w:val="000000"/>
                <w:sz w:val="20"/>
              </w:rPr>
              <w:t>1.0</w:t>
            </w:r>
          </w:p>
        </w:tc>
        <w:tc>
          <w:tcPr>
            <w:tcW w:w="647" w:type="pct"/>
            <w:tcBorders>
              <w:top w:val="single" w:sz="4" w:space="0" w:color="auto"/>
              <w:left w:val="single" w:sz="4" w:space="0" w:color="auto"/>
              <w:bottom w:val="single" w:sz="4" w:space="0" w:color="auto"/>
              <w:right w:val="single" w:sz="4" w:space="0" w:color="auto"/>
            </w:tcBorders>
            <w:shd w:val="clear" w:color="000000" w:fill="F5FAF9"/>
            <w:noWrap/>
            <w:vAlign w:val="center"/>
            <w:hideMark/>
          </w:tcPr>
          <w:p w14:paraId="310E5495" w14:textId="77777777" w:rsidR="00A37B53" w:rsidRPr="00A37B53" w:rsidRDefault="00A37B53" w:rsidP="00A37B53">
            <w:pPr>
              <w:spacing w:after="0" w:line="240" w:lineRule="auto"/>
              <w:jc w:val="center"/>
              <w:rPr>
                <w:rFonts w:ascii="Times New Roman" w:eastAsia="Times New Roman" w:hAnsi="Times New Roman"/>
                <w:color w:val="000000"/>
                <w:sz w:val="20"/>
                <w:szCs w:val="20"/>
              </w:rPr>
            </w:pPr>
            <w:r>
              <w:rPr>
                <w:rFonts w:ascii="Times New Roman" w:hAnsi="Times New Roman"/>
                <w:color w:val="000000"/>
                <w:sz w:val="20"/>
              </w:rPr>
              <w:t>1.4</w:t>
            </w:r>
          </w:p>
        </w:tc>
        <w:tc>
          <w:tcPr>
            <w:tcW w:w="647" w:type="pct"/>
            <w:tcBorders>
              <w:top w:val="single" w:sz="4" w:space="0" w:color="auto"/>
              <w:left w:val="single" w:sz="4" w:space="0" w:color="auto"/>
              <w:bottom w:val="single" w:sz="4" w:space="0" w:color="auto"/>
              <w:right w:val="nil"/>
            </w:tcBorders>
            <w:shd w:val="clear" w:color="000000" w:fill="7DC992"/>
            <w:noWrap/>
            <w:vAlign w:val="center"/>
            <w:hideMark/>
          </w:tcPr>
          <w:p w14:paraId="0DCFA72F" w14:textId="77777777" w:rsidR="00A37B53" w:rsidRPr="00A37B53" w:rsidRDefault="00A37B53" w:rsidP="00A37B53">
            <w:pPr>
              <w:spacing w:after="0" w:line="240" w:lineRule="auto"/>
              <w:jc w:val="center"/>
              <w:rPr>
                <w:rFonts w:ascii="Times New Roman" w:eastAsia="Times New Roman" w:hAnsi="Times New Roman"/>
                <w:color w:val="000000"/>
                <w:sz w:val="20"/>
                <w:szCs w:val="20"/>
              </w:rPr>
            </w:pPr>
            <w:r>
              <w:rPr>
                <w:rFonts w:ascii="Times New Roman" w:hAnsi="Times New Roman"/>
                <w:color w:val="000000"/>
                <w:sz w:val="20"/>
              </w:rPr>
              <w:t>16.3</w:t>
            </w:r>
          </w:p>
        </w:tc>
      </w:tr>
      <w:tr w:rsidR="00A37B53" w:rsidRPr="00A37B53" w14:paraId="21A2EA1E" w14:textId="77777777" w:rsidTr="00385866">
        <w:trPr>
          <w:cantSplit/>
          <w:trHeight w:val="180"/>
          <w:jc w:val="center"/>
        </w:trPr>
        <w:tc>
          <w:tcPr>
            <w:tcW w:w="896" w:type="pct"/>
            <w:vMerge/>
            <w:tcBorders>
              <w:top w:val="nil"/>
              <w:left w:val="nil"/>
              <w:bottom w:val="single" w:sz="4" w:space="0" w:color="auto"/>
              <w:right w:val="single" w:sz="4" w:space="0" w:color="auto"/>
            </w:tcBorders>
            <w:vAlign w:val="center"/>
            <w:hideMark/>
          </w:tcPr>
          <w:p w14:paraId="202A48A3" w14:textId="77777777" w:rsidR="00A37B53" w:rsidRPr="00A37B53" w:rsidRDefault="00A37B53" w:rsidP="00A37B53">
            <w:pPr>
              <w:spacing w:after="0" w:line="240" w:lineRule="auto"/>
              <w:rPr>
                <w:rFonts w:ascii="Times New Roman" w:eastAsia="Times New Roman" w:hAnsi="Times New Roman"/>
                <w:b/>
                <w:bCs/>
                <w:color w:val="000000"/>
                <w:sz w:val="20"/>
                <w:szCs w:val="20"/>
                <w:lang w:eastAsia="pt-BR"/>
              </w:rPr>
            </w:pPr>
          </w:p>
        </w:tc>
        <w:tc>
          <w:tcPr>
            <w:tcW w:w="869" w:type="pct"/>
            <w:tcBorders>
              <w:top w:val="nil"/>
              <w:left w:val="nil"/>
              <w:bottom w:val="single" w:sz="4" w:space="0" w:color="auto"/>
              <w:right w:val="single" w:sz="4" w:space="0" w:color="auto"/>
            </w:tcBorders>
            <w:shd w:val="clear" w:color="auto" w:fill="auto"/>
            <w:noWrap/>
            <w:vAlign w:val="center"/>
            <w:hideMark/>
          </w:tcPr>
          <w:p w14:paraId="113154AF" w14:textId="77777777" w:rsidR="00A37B53" w:rsidRPr="00A37B53" w:rsidRDefault="00A37B53" w:rsidP="00A37B53">
            <w:pPr>
              <w:spacing w:after="0" w:line="240" w:lineRule="auto"/>
              <w:rPr>
                <w:rFonts w:ascii="Times New Roman" w:eastAsia="Times New Roman" w:hAnsi="Times New Roman"/>
                <w:b/>
                <w:bCs/>
                <w:color w:val="000000"/>
                <w:sz w:val="20"/>
                <w:szCs w:val="20"/>
              </w:rPr>
            </w:pPr>
            <w:r>
              <w:rPr>
                <w:rFonts w:ascii="Times New Roman" w:hAnsi="Times New Roman"/>
                <w:b/>
                <w:color w:val="000000"/>
                <w:sz w:val="20"/>
              </w:rPr>
              <w:t>Total</w:t>
            </w:r>
          </w:p>
        </w:tc>
        <w:tc>
          <w:tcPr>
            <w:tcW w:w="647" w:type="pct"/>
            <w:tcBorders>
              <w:top w:val="single" w:sz="4" w:space="0" w:color="auto"/>
              <w:left w:val="single" w:sz="4" w:space="0" w:color="auto"/>
              <w:bottom w:val="single" w:sz="4" w:space="0" w:color="auto"/>
              <w:right w:val="single" w:sz="4" w:space="0" w:color="auto"/>
            </w:tcBorders>
            <w:shd w:val="clear" w:color="000000" w:fill="71C487"/>
            <w:noWrap/>
            <w:vAlign w:val="center"/>
            <w:hideMark/>
          </w:tcPr>
          <w:p w14:paraId="2C8A6B48" w14:textId="77777777" w:rsidR="00A37B53" w:rsidRPr="00A37B53" w:rsidRDefault="00A37B53" w:rsidP="00A37B53">
            <w:pPr>
              <w:spacing w:after="0" w:line="240" w:lineRule="auto"/>
              <w:jc w:val="center"/>
              <w:rPr>
                <w:rFonts w:ascii="Times New Roman" w:eastAsia="Times New Roman" w:hAnsi="Times New Roman"/>
                <w:b/>
                <w:bCs/>
                <w:color w:val="000000"/>
                <w:sz w:val="20"/>
                <w:szCs w:val="20"/>
              </w:rPr>
            </w:pPr>
            <w:r>
              <w:rPr>
                <w:rFonts w:ascii="Times New Roman" w:hAnsi="Times New Roman"/>
                <w:b/>
                <w:color w:val="000000"/>
                <w:sz w:val="20"/>
              </w:rPr>
              <w:t>24.7</w:t>
            </w:r>
          </w:p>
        </w:tc>
        <w:tc>
          <w:tcPr>
            <w:tcW w:w="647" w:type="pct"/>
            <w:tcBorders>
              <w:top w:val="single" w:sz="4" w:space="0" w:color="auto"/>
              <w:left w:val="single" w:sz="4" w:space="0" w:color="auto"/>
              <w:bottom w:val="single" w:sz="4" w:space="0" w:color="auto"/>
              <w:right w:val="single" w:sz="4" w:space="0" w:color="auto"/>
            </w:tcBorders>
            <w:shd w:val="clear" w:color="000000" w:fill="FCFCFF"/>
            <w:noWrap/>
            <w:vAlign w:val="center"/>
            <w:hideMark/>
          </w:tcPr>
          <w:p w14:paraId="55427B5A" w14:textId="77777777" w:rsidR="00A37B53" w:rsidRPr="00A37B53" w:rsidRDefault="00A37B53" w:rsidP="00A37B53">
            <w:pPr>
              <w:spacing w:after="0" w:line="240" w:lineRule="auto"/>
              <w:jc w:val="center"/>
              <w:rPr>
                <w:rFonts w:ascii="Times New Roman" w:eastAsia="Times New Roman" w:hAnsi="Times New Roman"/>
                <w:b/>
                <w:bCs/>
                <w:color w:val="000000"/>
                <w:sz w:val="20"/>
                <w:szCs w:val="20"/>
              </w:rPr>
            </w:pPr>
            <w:r>
              <w:rPr>
                <w:rFonts w:ascii="Times New Roman" w:hAnsi="Times New Roman"/>
                <w:b/>
                <w:color w:val="000000"/>
                <w:sz w:val="20"/>
              </w:rPr>
              <w:t>22.2</w:t>
            </w:r>
          </w:p>
        </w:tc>
        <w:tc>
          <w:tcPr>
            <w:tcW w:w="647" w:type="pct"/>
            <w:tcBorders>
              <w:top w:val="single" w:sz="4" w:space="0" w:color="auto"/>
              <w:left w:val="single" w:sz="4" w:space="0" w:color="auto"/>
              <w:bottom w:val="single" w:sz="4" w:space="0" w:color="auto"/>
              <w:right w:val="single" w:sz="4" w:space="0" w:color="auto"/>
            </w:tcBorders>
            <w:shd w:val="clear" w:color="000000" w:fill="CFEAD9"/>
            <w:noWrap/>
            <w:vAlign w:val="center"/>
            <w:hideMark/>
          </w:tcPr>
          <w:p w14:paraId="72830F7F" w14:textId="77777777" w:rsidR="00A37B53" w:rsidRPr="00A37B53" w:rsidRDefault="00A37B53" w:rsidP="00A37B53">
            <w:pPr>
              <w:spacing w:after="0" w:line="240" w:lineRule="auto"/>
              <w:jc w:val="center"/>
              <w:rPr>
                <w:rFonts w:ascii="Times New Roman" w:eastAsia="Times New Roman" w:hAnsi="Times New Roman"/>
                <w:b/>
                <w:bCs/>
                <w:color w:val="000000"/>
                <w:sz w:val="20"/>
                <w:szCs w:val="20"/>
              </w:rPr>
            </w:pPr>
            <w:r>
              <w:rPr>
                <w:rFonts w:ascii="Times New Roman" w:hAnsi="Times New Roman"/>
                <w:b/>
                <w:color w:val="000000"/>
                <w:sz w:val="20"/>
              </w:rPr>
              <w:t>23.0</w:t>
            </w:r>
          </w:p>
        </w:tc>
        <w:tc>
          <w:tcPr>
            <w:tcW w:w="647" w:type="pct"/>
            <w:tcBorders>
              <w:top w:val="single" w:sz="4" w:space="0" w:color="auto"/>
              <w:left w:val="single" w:sz="4" w:space="0" w:color="auto"/>
              <w:bottom w:val="single" w:sz="4" w:space="0" w:color="auto"/>
              <w:right w:val="single" w:sz="4" w:space="0" w:color="auto"/>
            </w:tcBorders>
            <w:shd w:val="clear" w:color="000000" w:fill="A3D8B2"/>
            <w:noWrap/>
            <w:vAlign w:val="center"/>
            <w:hideMark/>
          </w:tcPr>
          <w:p w14:paraId="28F6793E" w14:textId="77777777" w:rsidR="00A37B53" w:rsidRPr="00A37B53" w:rsidRDefault="00A37B53" w:rsidP="00A37B53">
            <w:pPr>
              <w:spacing w:after="0" w:line="240" w:lineRule="auto"/>
              <w:jc w:val="center"/>
              <w:rPr>
                <w:rFonts w:ascii="Times New Roman" w:eastAsia="Times New Roman" w:hAnsi="Times New Roman"/>
                <w:b/>
                <w:bCs/>
                <w:color w:val="000000"/>
                <w:sz w:val="20"/>
                <w:szCs w:val="20"/>
              </w:rPr>
            </w:pPr>
            <w:r>
              <w:rPr>
                <w:rFonts w:ascii="Times New Roman" w:hAnsi="Times New Roman"/>
                <w:b/>
                <w:color w:val="000000"/>
                <w:sz w:val="20"/>
              </w:rPr>
              <w:t>23.8</w:t>
            </w:r>
          </w:p>
        </w:tc>
        <w:tc>
          <w:tcPr>
            <w:tcW w:w="647" w:type="pct"/>
            <w:tcBorders>
              <w:top w:val="single" w:sz="4" w:space="0" w:color="auto"/>
              <w:left w:val="single" w:sz="4" w:space="0" w:color="auto"/>
              <w:bottom w:val="single" w:sz="4" w:space="0" w:color="auto"/>
              <w:right w:val="nil"/>
            </w:tcBorders>
            <w:shd w:val="clear" w:color="000000" w:fill="63BE7B"/>
            <w:noWrap/>
            <w:vAlign w:val="center"/>
            <w:hideMark/>
          </w:tcPr>
          <w:p w14:paraId="12960DFA" w14:textId="77777777" w:rsidR="00A37B53" w:rsidRPr="00A37B53" w:rsidRDefault="00A37B53" w:rsidP="00A37B53">
            <w:pPr>
              <w:spacing w:after="0" w:line="240" w:lineRule="auto"/>
              <w:jc w:val="center"/>
              <w:rPr>
                <w:rFonts w:ascii="Times New Roman" w:eastAsia="Times New Roman" w:hAnsi="Times New Roman"/>
                <w:b/>
                <w:bCs/>
                <w:color w:val="000000"/>
                <w:sz w:val="20"/>
                <w:szCs w:val="20"/>
              </w:rPr>
            </w:pPr>
            <w:r>
              <w:rPr>
                <w:rFonts w:ascii="Times New Roman" w:hAnsi="Times New Roman"/>
                <w:b/>
                <w:color w:val="000000"/>
                <w:sz w:val="20"/>
              </w:rPr>
              <w:t>25.0</w:t>
            </w:r>
          </w:p>
        </w:tc>
      </w:tr>
      <w:tr w:rsidR="00A37B53" w:rsidRPr="00A37B53" w14:paraId="5A97CD41" w14:textId="77777777" w:rsidTr="00385866">
        <w:trPr>
          <w:cantSplit/>
          <w:trHeight w:val="180"/>
          <w:jc w:val="center"/>
        </w:trPr>
        <w:tc>
          <w:tcPr>
            <w:tcW w:w="896" w:type="pct"/>
            <w:vMerge w:val="restart"/>
            <w:tcBorders>
              <w:top w:val="nil"/>
              <w:left w:val="nil"/>
              <w:bottom w:val="single" w:sz="4" w:space="0" w:color="auto"/>
              <w:right w:val="single" w:sz="4" w:space="0" w:color="auto"/>
            </w:tcBorders>
            <w:shd w:val="clear" w:color="auto" w:fill="auto"/>
            <w:vAlign w:val="center"/>
            <w:hideMark/>
          </w:tcPr>
          <w:p w14:paraId="01FC4084" w14:textId="77777777" w:rsidR="00A37B53" w:rsidRPr="00A37B53" w:rsidRDefault="00A37B53" w:rsidP="00A37B53">
            <w:pPr>
              <w:spacing w:after="0" w:line="240" w:lineRule="auto"/>
              <w:rPr>
                <w:rFonts w:ascii="Times New Roman" w:eastAsia="Times New Roman" w:hAnsi="Times New Roman"/>
                <w:b/>
                <w:bCs/>
                <w:color w:val="000000"/>
                <w:sz w:val="20"/>
                <w:szCs w:val="20"/>
              </w:rPr>
            </w:pPr>
            <w:r>
              <w:rPr>
                <w:rFonts w:ascii="Times New Roman" w:hAnsi="Times New Roman"/>
                <w:b/>
                <w:color w:val="000000"/>
                <w:sz w:val="20"/>
              </w:rPr>
              <w:t>GOS*</w:t>
            </w:r>
          </w:p>
        </w:tc>
        <w:tc>
          <w:tcPr>
            <w:tcW w:w="869" w:type="pct"/>
            <w:tcBorders>
              <w:top w:val="nil"/>
              <w:left w:val="nil"/>
              <w:bottom w:val="single" w:sz="4" w:space="0" w:color="auto"/>
              <w:right w:val="single" w:sz="4" w:space="0" w:color="auto"/>
            </w:tcBorders>
            <w:shd w:val="clear" w:color="auto" w:fill="auto"/>
            <w:noWrap/>
            <w:vAlign w:val="center"/>
            <w:hideMark/>
          </w:tcPr>
          <w:p w14:paraId="4543C399" w14:textId="77777777" w:rsidR="00A37B53" w:rsidRPr="00A37B53" w:rsidRDefault="00A37B53" w:rsidP="00A37B53">
            <w:pPr>
              <w:spacing w:after="0" w:line="240" w:lineRule="auto"/>
              <w:rPr>
                <w:rFonts w:ascii="Times New Roman" w:eastAsia="Times New Roman" w:hAnsi="Times New Roman"/>
                <w:color w:val="000000"/>
                <w:sz w:val="20"/>
                <w:szCs w:val="20"/>
              </w:rPr>
            </w:pPr>
            <w:r>
              <w:rPr>
                <w:rFonts w:ascii="Times New Roman" w:hAnsi="Times New Roman"/>
                <w:color w:val="000000"/>
                <w:sz w:val="20"/>
              </w:rPr>
              <w:t>North</w:t>
            </w:r>
          </w:p>
        </w:tc>
        <w:tc>
          <w:tcPr>
            <w:tcW w:w="647" w:type="pct"/>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53B38E8A" w14:textId="77777777" w:rsidR="00A37B53" w:rsidRPr="00A37B53" w:rsidRDefault="00A37B53" w:rsidP="00A37B53">
            <w:pPr>
              <w:spacing w:after="0" w:line="240" w:lineRule="auto"/>
              <w:jc w:val="center"/>
              <w:rPr>
                <w:rFonts w:ascii="Times New Roman" w:eastAsia="Times New Roman" w:hAnsi="Times New Roman"/>
                <w:color w:val="000000"/>
                <w:sz w:val="20"/>
                <w:szCs w:val="20"/>
              </w:rPr>
            </w:pPr>
            <w:r>
              <w:rPr>
                <w:rFonts w:ascii="Times New Roman" w:hAnsi="Times New Roman"/>
                <w:color w:val="000000"/>
                <w:sz w:val="20"/>
              </w:rPr>
              <w:t>13.2</w:t>
            </w:r>
          </w:p>
        </w:tc>
        <w:tc>
          <w:tcPr>
            <w:tcW w:w="647" w:type="pct"/>
            <w:tcBorders>
              <w:top w:val="single" w:sz="4" w:space="0" w:color="auto"/>
              <w:left w:val="single" w:sz="4" w:space="0" w:color="auto"/>
              <w:bottom w:val="single" w:sz="4" w:space="0" w:color="auto"/>
              <w:right w:val="single" w:sz="4" w:space="0" w:color="auto"/>
            </w:tcBorders>
            <w:shd w:val="clear" w:color="000000" w:fill="F7FAFB"/>
            <w:noWrap/>
            <w:vAlign w:val="center"/>
            <w:hideMark/>
          </w:tcPr>
          <w:p w14:paraId="2A701954" w14:textId="77777777" w:rsidR="00A37B53" w:rsidRPr="00A37B53" w:rsidRDefault="00A37B53" w:rsidP="00A37B53">
            <w:pPr>
              <w:spacing w:after="0" w:line="240" w:lineRule="auto"/>
              <w:jc w:val="center"/>
              <w:rPr>
                <w:rFonts w:ascii="Times New Roman" w:eastAsia="Times New Roman" w:hAnsi="Times New Roman"/>
                <w:color w:val="000000"/>
                <w:sz w:val="20"/>
                <w:szCs w:val="20"/>
              </w:rPr>
            </w:pPr>
            <w:r>
              <w:rPr>
                <w:rFonts w:ascii="Times New Roman" w:hAnsi="Times New Roman"/>
                <w:color w:val="000000"/>
                <w:sz w:val="20"/>
              </w:rPr>
              <w:t>0.7</w:t>
            </w:r>
          </w:p>
        </w:tc>
        <w:tc>
          <w:tcPr>
            <w:tcW w:w="647" w:type="pct"/>
            <w:tcBorders>
              <w:top w:val="single" w:sz="4" w:space="0" w:color="auto"/>
              <w:left w:val="single" w:sz="4" w:space="0" w:color="auto"/>
              <w:bottom w:val="single" w:sz="4" w:space="0" w:color="auto"/>
              <w:right w:val="single" w:sz="4" w:space="0" w:color="auto"/>
            </w:tcBorders>
            <w:shd w:val="clear" w:color="000000" w:fill="F8FBFC"/>
            <w:noWrap/>
            <w:vAlign w:val="center"/>
            <w:hideMark/>
          </w:tcPr>
          <w:p w14:paraId="29887326" w14:textId="77777777" w:rsidR="00A37B53" w:rsidRPr="00A37B53" w:rsidRDefault="00A37B53" w:rsidP="00A37B53">
            <w:pPr>
              <w:spacing w:after="0" w:line="240" w:lineRule="auto"/>
              <w:jc w:val="center"/>
              <w:rPr>
                <w:rFonts w:ascii="Times New Roman" w:eastAsia="Times New Roman" w:hAnsi="Times New Roman"/>
                <w:color w:val="000000"/>
                <w:sz w:val="20"/>
                <w:szCs w:val="20"/>
              </w:rPr>
            </w:pPr>
            <w:r>
              <w:rPr>
                <w:rFonts w:ascii="Times New Roman" w:hAnsi="Times New Roman"/>
                <w:color w:val="000000"/>
                <w:sz w:val="20"/>
              </w:rPr>
              <w:t>0.6</w:t>
            </w:r>
          </w:p>
        </w:tc>
        <w:tc>
          <w:tcPr>
            <w:tcW w:w="647" w:type="pct"/>
            <w:tcBorders>
              <w:top w:val="single" w:sz="4" w:space="0" w:color="auto"/>
              <w:left w:val="single" w:sz="4" w:space="0" w:color="auto"/>
              <w:bottom w:val="single" w:sz="4" w:space="0" w:color="auto"/>
              <w:right w:val="single" w:sz="4" w:space="0" w:color="auto"/>
            </w:tcBorders>
            <w:shd w:val="clear" w:color="000000" w:fill="FAFCFD"/>
            <w:noWrap/>
            <w:vAlign w:val="center"/>
            <w:hideMark/>
          </w:tcPr>
          <w:p w14:paraId="72B64527" w14:textId="77777777" w:rsidR="00A37B53" w:rsidRPr="00A37B53" w:rsidRDefault="00A37B53" w:rsidP="00A37B53">
            <w:pPr>
              <w:spacing w:after="0" w:line="240" w:lineRule="auto"/>
              <w:jc w:val="center"/>
              <w:rPr>
                <w:rFonts w:ascii="Times New Roman" w:eastAsia="Times New Roman" w:hAnsi="Times New Roman"/>
                <w:color w:val="000000"/>
                <w:sz w:val="20"/>
                <w:szCs w:val="20"/>
              </w:rPr>
            </w:pPr>
            <w:r>
              <w:rPr>
                <w:rFonts w:ascii="Times New Roman" w:hAnsi="Times New Roman"/>
                <w:color w:val="000000"/>
                <w:sz w:val="20"/>
              </w:rPr>
              <w:t>0.4</w:t>
            </w:r>
          </w:p>
        </w:tc>
        <w:tc>
          <w:tcPr>
            <w:tcW w:w="647" w:type="pct"/>
            <w:tcBorders>
              <w:top w:val="single" w:sz="4" w:space="0" w:color="auto"/>
              <w:left w:val="single" w:sz="4" w:space="0" w:color="auto"/>
              <w:bottom w:val="single" w:sz="4" w:space="0" w:color="auto"/>
              <w:right w:val="nil"/>
            </w:tcBorders>
            <w:shd w:val="clear" w:color="000000" w:fill="F9FBFC"/>
            <w:noWrap/>
            <w:vAlign w:val="center"/>
            <w:hideMark/>
          </w:tcPr>
          <w:p w14:paraId="5587ECE4" w14:textId="77777777" w:rsidR="00A37B53" w:rsidRPr="00A37B53" w:rsidRDefault="00A37B53" w:rsidP="00A37B53">
            <w:pPr>
              <w:spacing w:after="0" w:line="240" w:lineRule="auto"/>
              <w:jc w:val="center"/>
              <w:rPr>
                <w:rFonts w:ascii="Times New Roman" w:eastAsia="Times New Roman" w:hAnsi="Times New Roman"/>
                <w:color w:val="000000"/>
                <w:sz w:val="20"/>
                <w:szCs w:val="20"/>
              </w:rPr>
            </w:pPr>
            <w:r>
              <w:rPr>
                <w:rFonts w:ascii="Times New Roman" w:hAnsi="Times New Roman"/>
                <w:color w:val="000000"/>
                <w:sz w:val="20"/>
              </w:rPr>
              <w:t>0.5</w:t>
            </w:r>
          </w:p>
        </w:tc>
      </w:tr>
      <w:tr w:rsidR="00A37B53" w:rsidRPr="00A37B53" w14:paraId="7C01D9EE" w14:textId="77777777" w:rsidTr="00385866">
        <w:trPr>
          <w:cantSplit/>
          <w:trHeight w:val="180"/>
          <w:jc w:val="center"/>
        </w:trPr>
        <w:tc>
          <w:tcPr>
            <w:tcW w:w="896" w:type="pct"/>
            <w:vMerge/>
            <w:tcBorders>
              <w:top w:val="nil"/>
              <w:left w:val="nil"/>
              <w:bottom w:val="single" w:sz="4" w:space="0" w:color="auto"/>
              <w:right w:val="single" w:sz="4" w:space="0" w:color="auto"/>
            </w:tcBorders>
            <w:vAlign w:val="center"/>
            <w:hideMark/>
          </w:tcPr>
          <w:p w14:paraId="0CAA1C12" w14:textId="77777777" w:rsidR="00A37B53" w:rsidRPr="00A37B53" w:rsidRDefault="00A37B53" w:rsidP="00A37B53">
            <w:pPr>
              <w:spacing w:after="0" w:line="240" w:lineRule="auto"/>
              <w:rPr>
                <w:rFonts w:ascii="Times New Roman" w:eastAsia="Times New Roman" w:hAnsi="Times New Roman"/>
                <w:b/>
                <w:bCs/>
                <w:color w:val="000000"/>
                <w:sz w:val="20"/>
                <w:szCs w:val="20"/>
                <w:lang w:eastAsia="pt-BR"/>
              </w:rPr>
            </w:pPr>
          </w:p>
        </w:tc>
        <w:tc>
          <w:tcPr>
            <w:tcW w:w="869" w:type="pct"/>
            <w:tcBorders>
              <w:top w:val="nil"/>
              <w:left w:val="nil"/>
              <w:bottom w:val="single" w:sz="4" w:space="0" w:color="auto"/>
              <w:right w:val="single" w:sz="4" w:space="0" w:color="auto"/>
            </w:tcBorders>
            <w:shd w:val="clear" w:color="auto" w:fill="auto"/>
            <w:noWrap/>
            <w:vAlign w:val="center"/>
            <w:hideMark/>
          </w:tcPr>
          <w:p w14:paraId="75038FC4" w14:textId="77777777" w:rsidR="00A37B53" w:rsidRPr="00A37B53" w:rsidRDefault="00A37B53" w:rsidP="00A37B53">
            <w:pPr>
              <w:spacing w:after="0" w:line="240" w:lineRule="auto"/>
              <w:rPr>
                <w:rFonts w:ascii="Times New Roman" w:eastAsia="Times New Roman" w:hAnsi="Times New Roman"/>
                <w:color w:val="000000"/>
                <w:sz w:val="20"/>
                <w:szCs w:val="20"/>
              </w:rPr>
            </w:pPr>
            <w:r>
              <w:rPr>
                <w:rFonts w:ascii="Times New Roman" w:hAnsi="Times New Roman"/>
                <w:color w:val="000000"/>
                <w:sz w:val="20"/>
              </w:rPr>
              <w:t>Northeast</w:t>
            </w:r>
          </w:p>
        </w:tc>
        <w:tc>
          <w:tcPr>
            <w:tcW w:w="647" w:type="pct"/>
            <w:tcBorders>
              <w:top w:val="single" w:sz="4" w:space="0" w:color="auto"/>
              <w:left w:val="single" w:sz="4" w:space="0" w:color="auto"/>
              <w:bottom w:val="single" w:sz="4" w:space="0" w:color="auto"/>
              <w:right w:val="single" w:sz="4" w:space="0" w:color="auto"/>
            </w:tcBorders>
            <w:shd w:val="clear" w:color="000000" w:fill="FCFCFF"/>
            <w:noWrap/>
            <w:vAlign w:val="center"/>
            <w:hideMark/>
          </w:tcPr>
          <w:p w14:paraId="24AF3902" w14:textId="77777777" w:rsidR="00A37B53" w:rsidRPr="00A37B53" w:rsidRDefault="00A37B53" w:rsidP="00A37B53">
            <w:pPr>
              <w:spacing w:after="0" w:line="240" w:lineRule="auto"/>
              <w:jc w:val="center"/>
              <w:rPr>
                <w:rFonts w:ascii="Times New Roman" w:eastAsia="Times New Roman" w:hAnsi="Times New Roman"/>
                <w:color w:val="000000"/>
                <w:sz w:val="20"/>
                <w:szCs w:val="20"/>
              </w:rPr>
            </w:pPr>
            <w:r>
              <w:rPr>
                <w:rFonts w:ascii="Times New Roman" w:hAnsi="Times New Roman"/>
                <w:color w:val="000000"/>
                <w:sz w:val="20"/>
              </w:rPr>
              <w:t>0.3</w:t>
            </w:r>
          </w:p>
        </w:tc>
        <w:tc>
          <w:tcPr>
            <w:tcW w:w="647" w:type="pct"/>
            <w:tcBorders>
              <w:top w:val="single" w:sz="4" w:space="0" w:color="auto"/>
              <w:left w:val="single" w:sz="4" w:space="0" w:color="auto"/>
              <w:bottom w:val="single" w:sz="4" w:space="0" w:color="auto"/>
              <w:right w:val="single" w:sz="4" w:space="0" w:color="auto"/>
            </w:tcBorders>
            <w:shd w:val="clear" w:color="000000" w:fill="A6D9B5"/>
            <w:noWrap/>
            <w:vAlign w:val="center"/>
            <w:hideMark/>
          </w:tcPr>
          <w:p w14:paraId="712ABD4B" w14:textId="77777777" w:rsidR="00A37B53" w:rsidRPr="00A37B53" w:rsidRDefault="00A37B53" w:rsidP="00A37B53">
            <w:pPr>
              <w:spacing w:after="0" w:line="240" w:lineRule="auto"/>
              <w:jc w:val="center"/>
              <w:rPr>
                <w:rFonts w:ascii="Times New Roman" w:eastAsia="Times New Roman" w:hAnsi="Times New Roman"/>
                <w:color w:val="000000"/>
                <w:sz w:val="20"/>
                <w:szCs w:val="20"/>
              </w:rPr>
            </w:pPr>
            <w:r>
              <w:rPr>
                <w:rFonts w:ascii="Times New Roman" w:hAnsi="Times New Roman"/>
                <w:color w:val="000000"/>
                <w:sz w:val="20"/>
              </w:rPr>
              <w:t>7.6</w:t>
            </w:r>
          </w:p>
        </w:tc>
        <w:tc>
          <w:tcPr>
            <w:tcW w:w="647" w:type="pct"/>
            <w:tcBorders>
              <w:top w:val="single" w:sz="4" w:space="0" w:color="auto"/>
              <w:left w:val="single" w:sz="4" w:space="0" w:color="auto"/>
              <w:bottom w:val="single" w:sz="4" w:space="0" w:color="auto"/>
              <w:right w:val="single" w:sz="4" w:space="0" w:color="auto"/>
            </w:tcBorders>
            <w:shd w:val="clear" w:color="000000" w:fill="FBFCFF"/>
            <w:noWrap/>
            <w:vAlign w:val="center"/>
            <w:hideMark/>
          </w:tcPr>
          <w:p w14:paraId="0FACCF99" w14:textId="77777777" w:rsidR="00A37B53" w:rsidRPr="00A37B53" w:rsidRDefault="00A37B53" w:rsidP="00A37B53">
            <w:pPr>
              <w:spacing w:after="0" w:line="240" w:lineRule="auto"/>
              <w:jc w:val="center"/>
              <w:rPr>
                <w:rFonts w:ascii="Times New Roman" w:eastAsia="Times New Roman" w:hAnsi="Times New Roman"/>
                <w:color w:val="000000"/>
                <w:sz w:val="20"/>
                <w:szCs w:val="20"/>
              </w:rPr>
            </w:pPr>
            <w:r>
              <w:rPr>
                <w:rFonts w:ascii="Times New Roman" w:hAnsi="Times New Roman"/>
                <w:color w:val="000000"/>
                <w:sz w:val="20"/>
              </w:rPr>
              <w:t>0.3</w:t>
            </w:r>
          </w:p>
        </w:tc>
        <w:tc>
          <w:tcPr>
            <w:tcW w:w="647" w:type="pct"/>
            <w:tcBorders>
              <w:top w:val="single" w:sz="4" w:space="0" w:color="auto"/>
              <w:left w:val="single" w:sz="4" w:space="0" w:color="auto"/>
              <w:bottom w:val="single" w:sz="4" w:space="0" w:color="auto"/>
              <w:right w:val="single" w:sz="4" w:space="0" w:color="auto"/>
            </w:tcBorders>
            <w:shd w:val="clear" w:color="000000" w:fill="FBFCFF"/>
            <w:noWrap/>
            <w:vAlign w:val="center"/>
            <w:hideMark/>
          </w:tcPr>
          <w:p w14:paraId="73A4E30A" w14:textId="77777777" w:rsidR="00A37B53" w:rsidRPr="00A37B53" w:rsidRDefault="00A37B53" w:rsidP="00A37B53">
            <w:pPr>
              <w:spacing w:after="0" w:line="240" w:lineRule="auto"/>
              <w:jc w:val="center"/>
              <w:rPr>
                <w:rFonts w:ascii="Times New Roman" w:eastAsia="Times New Roman" w:hAnsi="Times New Roman"/>
                <w:color w:val="000000"/>
                <w:sz w:val="20"/>
                <w:szCs w:val="20"/>
              </w:rPr>
            </w:pPr>
            <w:r>
              <w:rPr>
                <w:rFonts w:ascii="Times New Roman" w:hAnsi="Times New Roman"/>
                <w:color w:val="000000"/>
                <w:sz w:val="20"/>
              </w:rPr>
              <w:t>0.3</w:t>
            </w:r>
          </w:p>
        </w:tc>
        <w:tc>
          <w:tcPr>
            <w:tcW w:w="647" w:type="pct"/>
            <w:tcBorders>
              <w:top w:val="single" w:sz="4" w:space="0" w:color="auto"/>
              <w:left w:val="single" w:sz="4" w:space="0" w:color="auto"/>
              <w:bottom w:val="single" w:sz="4" w:space="0" w:color="auto"/>
              <w:right w:val="nil"/>
            </w:tcBorders>
            <w:shd w:val="clear" w:color="000000" w:fill="FCFCFF"/>
            <w:noWrap/>
            <w:vAlign w:val="center"/>
            <w:hideMark/>
          </w:tcPr>
          <w:p w14:paraId="17A6FB42" w14:textId="77777777" w:rsidR="00A37B53" w:rsidRPr="00A37B53" w:rsidRDefault="00A37B53" w:rsidP="00A37B53">
            <w:pPr>
              <w:spacing w:after="0" w:line="240" w:lineRule="auto"/>
              <w:jc w:val="center"/>
              <w:rPr>
                <w:rFonts w:ascii="Times New Roman" w:eastAsia="Times New Roman" w:hAnsi="Times New Roman"/>
                <w:color w:val="000000"/>
                <w:sz w:val="20"/>
                <w:szCs w:val="20"/>
              </w:rPr>
            </w:pPr>
            <w:r>
              <w:rPr>
                <w:rFonts w:ascii="Times New Roman" w:hAnsi="Times New Roman"/>
                <w:color w:val="000000"/>
                <w:sz w:val="20"/>
              </w:rPr>
              <w:t>0.3</w:t>
            </w:r>
          </w:p>
        </w:tc>
      </w:tr>
      <w:tr w:rsidR="00A37B53" w:rsidRPr="00A37B53" w14:paraId="0B162289" w14:textId="77777777" w:rsidTr="00385866">
        <w:trPr>
          <w:cantSplit/>
          <w:trHeight w:val="180"/>
          <w:jc w:val="center"/>
        </w:trPr>
        <w:tc>
          <w:tcPr>
            <w:tcW w:w="896" w:type="pct"/>
            <w:vMerge/>
            <w:tcBorders>
              <w:top w:val="nil"/>
              <w:left w:val="nil"/>
              <w:bottom w:val="single" w:sz="4" w:space="0" w:color="auto"/>
              <w:right w:val="single" w:sz="4" w:space="0" w:color="auto"/>
            </w:tcBorders>
            <w:vAlign w:val="center"/>
            <w:hideMark/>
          </w:tcPr>
          <w:p w14:paraId="6E12802F" w14:textId="77777777" w:rsidR="00A37B53" w:rsidRPr="00A37B53" w:rsidRDefault="00A37B53" w:rsidP="00A37B53">
            <w:pPr>
              <w:spacing w:after="0" w:line="240" w:lineRule="auto"/>
              <w:rPr>
                <w:rFonts w:ascii="Times New Roman" w:eastAsia="Times New Roman" w:hAnsi="Times New Roman"/>
                <w:b/>
                <w:bCs/>
                <w:color w:val="000000"/>
                <w:sz w:val="20"/>
                <w:szCs w:val="20"/>
                <w:lang w:eastAsia="pt-BR"/>
              </w:rPr>
            </w:pPr>
          </w:p>
        </w:tc>
        <w:tc>
          <w:tcPr>
            <w:tcW w:w="869" w:type="pct"/>
            <w:tcBorders>
              <w:top w:val="nil"/>
              <w:left w:val="nil"/>
              <w:bottom w:val="single" w:sz="4" w:space="0" w:color="auto"/>
              <w:right w:val="single" w:sz="4" w:space="0" w:color="auto"/>
            </w:tcBorders>
            <w:shd w:val="clear" w:color="auto" w:fill="auto"/>
            <w:noWrap/>
            <w:vAlign w:val="center"/>
            <w:hideMark/>
          </w:tcPr>
          <w:p w14:paraId="56CC8DAC" w14:textId="77777777" w:rsidR="00A37B53" w:rsidRPr="00A37B53" w:rsidRDefault="00A37B53" w:rsidP="00A37B53">
            <w:pPr>
              <w:spacing w:after="0" w:line="240" w:lineRule="auto"/>
              <w:rPr>
                <w:rFonts w:ascii="Times New Roman" w:eastAsia="Times New Roman" w:hAnsi="Times New Roman"/>
                <w:color w:val="000000"/>
                <w:sz w:val="20"/>
                <w:szCs w:val="20"/>
              </w:rPr>
            </w:pPr>
            <w:r>
              <w:rPr>
                <w:rFonts w:ascii="Times New Roman" w:hAnsi="Times New Roman"/>
                <w:color w:val="000000"/>
                <w:sz w:val="20"/>
              </w:rPr>
              <w:t>Southeast</w:t>
            </w:r>
          </w:p>
        </w:tc>
        <w:tc>
          <w:tcPr>
            <w:tcW w:w="647" w:type="pct"/>
            <w:tcBorders>
              <w:top w:val="single" w:sz="4" w:space="0" w:color="auto"/>
              <w:left w:val="single" w:sz="4" w:space="0" w:color="auto"/>
              <w:bottom w:val="single" w:sz="4" w:space="0" w:color="auto"/>
              <w:right w:val="single" w:sz="4" w:space="0" w:color="auto"/>
            </w:tcBorders>
            <w:shd w:val="clear" w:color="000000" w:fill="D8EEE0"/>
            <w:noWrap/>
            <w:vAlign w:val="center"/>
            <w:hideMark/>
          </w:tcPr>
          <w:p w14:paraId="0063F068" w14:textId="77777777" w:rsidR="00A37B53" w:rsidRPr="00A37B53" w:rsidRDefault="00A37B53" w:rsidP="00A37B53">
            <w:pPr>
              <w:spacing w:after="0" w:line="240" w:lineRule="auto"/>
              <w:jc w:val="center"/>
              <w:rPr>
                <w:rFonts w:ascii="Times New Roman" w:eastAsia="Times New Roman" w:hAnsi="Times New Roman"/>
                <w:color w:val="000000"/>
                <w:sz w:val="20"/>
                <w:szCs w:val="20"/>
              </w:rPr>
            </w:pPr>
            <w:r>
              <w:rPr>
                <w:rFonts w:ascii="Times New Roman" w:hAnsi="Times New Roman"/>
                <w:color w:val="000000"/>
                <w:sz w:val="20"/>
              </w:rPr>
              <w:t>3.3</w:t>
            </w:r>
          </w:p>
        </w:tc>
        <w:tc>
          <w:tcPr>
            <w:tcW w:w="647" w:type="pct"/>
            <w:tcBorders>
              <w:top w:val="single" w:sz="4" w:space="0" w:color="auto"/>
              <w:left w:val="single" w:sz="4" w:space="0" w:color="auto"/>
              <w:bottom w:val="single" w:sz="4" w:space="0" w:color="auto"/>
              <w:right w:val="single" w:sz="4" w:space="0" w:color="auto"/>
            </w:tcBorders>
            <w:shd w:val="clear" w:color="000000" w:fill="C2E5CD"/>
            <w:noWrap/>
            <w:vAlign w:val="center"/>
            <w:hideMark/>
          </w:tcPr>
          <w:p w14:paraId="150A6EFF" w14:textId="77777777" w:rsidR="00A37B53" w:rsidRPr="00A37B53" w:rsidRDefault="00A37B53" w:rsidP="00A37B53">
            <w:pPr>
              <w:spacing w:after="0" w:line="240" w:lineRule="auto"/>
              <w:jc w:val="center"/>
              <w:rPr>
                <w:rFonts w:ascii="Times New Roman" w:eastAsia="Times New Roman" w:hAnsi="Times New Roman"/>
                <w:color w:val="000000"/>
                <w:sz w:val="20"/>
                <w:szCs w:val="20"/>
              </w:rPr>
            </w:pPr>
            <w:r>
              <w:rPr>
                <w:rFonts w:ascii="Times New Roman" w:hAnsi="Times New Roman"/>
                <w:color w:val="000000"/>
                <w:sz w:val="20"/>
              </w:rPr>
              <w:t>5.2</w:t>
            </w:r>
          </w:p>
        </w:tc>
        <w:tc>
          <w:tcPr>
            <w:tcW w:w="647" w:type="pct"/>
            <w:tcBorders>
              <w:top w:val="single" w:sz="4" w:space="0" w:color="auto"/>
              <w:left w:val="single" w:sz="4" w:space="0" w:color="auto"/>
              <w:bottom w:val="single" w:sz="4" w:space="0" w:color="auto"/>
              <w:right w:val="single" w:sz="4" w:space="0" w:color="auto"/>
            </w:tcBorders>
            <w:shd w:val="clear" w:color="000000" w:fill="65BF7D"/>
            <w:noWrap/>
            <w:vAlign w:val="center"/>
            <w:hideMark/>
          </w:tcPr>
          <w:p w14:paraId="4C50DC5E" w14:textId="77777777" w:rsidR="00A37B53" w:rsidRPr="00A37B53" w:rsidRDefault="00A37B53" w:rsidP="00A37B53">
            <w:pPr>
              <w:spacing w:after="0" w:line="240" w:lineRule="auto"/>
              <w:jc w:val="center"/>
              <w:rPr>
                <w:rFonts w:ascii="Times New Roman" w:eastAsia="Times New Roman" w:hAnsi="Times New Roman"/>
                <w:color w:val="000000"/>
                <w:sz w:val="20"/>
                <w:szCs w:val="20"/>
              </w:rPr>
            </w:pPr>
            <w:r>
              <w:rPr>
                <w:rFonts w:ascii="Times New Roman" w:hAnsi="Times New Roman"/>
                <w:color w:val="000000"/>
                <w:sz w:val="20"/>
              </w:rPr>
              <w:t>13.1</w:t>
            </w:r>
          </w:p>
        </w:tc>
        <w:tc>
          <w:tcPr>
            <w:tcW w:w="647" w:type="pct"/>
            <w:tcBorders>
              <w:top w:val="single" w:sz="4" w:space="0" w:color="auto"/>
              <w:left w:val="single" w:sz="4" w:space="0" w:color="auto"/>
              <w:bottom w:val="single" w:sz="4" w:space="0" w:color="auto"/>
              <w:right w:val="single" w:sz="4" w:space="0" w:color="auto"/>
            </w:tcBorders>
            <w:shd w:val="clear" w:color="000000" w:fill="C8E7D2"/>
            <w:noWrap/>
            <w:vAlign w:val="center"/>
            <w:hideMark/>
          </w:tcPr>
          <w:p w14:paraId="5522DF0A" w14:textId="77777777" w:rsidR="00A37B53" w:rsidRPr="00A37B53" w:rsidRDefault="00A37B53" w:rsidP="00A37B53">
            <w:pPr>
              <w:spacing w:after="0" w:line="240" w:lineRule="auto"/>
              <w:jc w:val="center"/>
              <w:rPr>
                <w:rFonts w:ascii="Times New Roman" w:eastAsia="Times New Roman" w:hAnsi="Times New Roman"/>
                <w:color w:val="000000"/>
                <w:sz w:val="20"/>
                <w:szCs w:val="20"/>
              </w:rPr>
            </w:pPr>
            <w:r>
              <w:rPr>
                <w:rFonts w:ascii="Times New Roman" w:hAnsi="Times New Roman"/>
                <w:color w:val="000000"/>
                <w:sz w:val="20"/>
              </w:rPr>
              <w:t>4.7</w:t>
            </w:r>
          </w:p>
        </w:tc>
        <w:tc>
          <w:tcPr>
            <w:tcW w:w="647" w:type="pct"/>
            <w:tcBorders>
              <w:top w:val="single" w:sz="4" w:space="0" w:color="auto"/>
              <w:left w:val="single" w:sz="4" w:space="0" w:color="auto"/>
              <w:bottom w:val="single" w:sz="4" w:space="0" w:color="auto"/>
              <w:right w:val="nil"/>
            </w:tcBorders>
            <w:shd w:val="clear" w:color="000000" w:fill="CBE9D5"/>
            <w:noWrap/>
            <w:vAlign w:val="center"/>
            <w:hideMark/>
          </w:tcPr>
          <w:p w14:paraId="35D36D55" w14:textId="77777777" w:rsidR="00A37B53" w:rsidRPr="00A37B53" w:rsidRDefault="00A37B53" w:rsidP="00A37B53">
            <w:pPr>
              <w:spacing w:after="0" w:line="240" w:lineRule="auto"/>
              <w:jc w:val="center"/>
              <w:rPr>
                <w:rFonts w:ascii="Times New Roman" w:eastAsia="Times New Roman" w:hAnsi="Times New Roman"/>
                <w:color w:val="000000"/>
                <w:sz w:val="20"/>
                <w:szCs w:val="20"/>
              </w:rPr>
            </w:pPr>
            <w:r>
              <w:rPr>
                <w:rFonts w:ascii="Times New Roman" w:hAnsi="Times New Roman"/>
                <w:color w:val="000000"/>
                <w:sz w:val="20"/>
              </w:rPr>
              <w:t>4.4</w:t>
            </w:r>
          </w:p>
        </w:tc>
      </w:tr>
      <w:tr w:rsidR="00A37B53" w:rsidRPr="00A37B53" w14:paraId="06C24DA3" w14:textId="77777777" w:rsidTr="00385866">
        <w:trPr>
          <w:cantSplit/>
          <w:trHeight w:val="180"/>
          <w:jc w:val="center"/>
        </w:trPr>
        <w:tc>
          <w:tcPr>
            <w:tcW w:w="896" w:type="pct"/>
            <w:vMerge/>
            <w:tcBorders>
              <w:top w:val="nil"/>
              <w:left w:val="nil"/>
              <w:bottom w:val="single" w:sz="4" w:space="0" w:color="auto"/>
              <w:right w:val="single" w:sz="4" w:space="0" w:color="auto"/>
            </w:tcBorders>
            <w:vAlign w:val="center"/>
            <w:hideMark/>
          </w:tcPr>
          <w:p w14:paraId="6B378E46" w14:textId="77777777" w:rsidR="00A37B53" w:rsidRPr="00A37B53" w:rsidRDefault="00A37B53" w:rsidP="00A37B53">
            <w:pPr>
              <w:spacing w:after="0" w:line="240" w:lineRule="auto"/>
              <w:rPr>
                <w:rFonts w:ascii="Times New Roman" w:eastAsia="Times New Roman" w:hAnsi="Times New Roman"/>
                <w:b/>
                <w:bCs/>
                <w:color w:val="000000"/>
                <w:sz w:val="20"/>
                <w:szCs w:val="20"/>
                <w:lang w:eastAsia="pt-BR"/>
              </w:rPr>
            </w:pPr>
          </w:p>
        </w:tc>
        <w:tc>
          <w:tcPr>
            <w:tcW w:w="869" w:type="pct"/>
            <w:tcBorders>
              <w:top w:val="nil"/>
              <w:left w:val="nil"/>
              <w:bottom w:val="single" w:sz="4" w:space="0" w:color="auto"/>
              <w:right w:val="single" w:sz="4" w:space="0" w:color="auto"/>
            </w:tcBorders>
            <w:shd w:val="clear" w:color="auto" w:fill="auto"/>
            <w:noWrap/>
            <w:vAlign w:val="center"/>
            <w:hideMark/>
          </w:tcPr>
          <w:p w14:paraId="4D5A0F96" w14:textId="77777777" w:rsidR="00A37B53" w:rsidRPr="00A37B53" w:rsidRDefault="00A37B53" w:rsidP="00A37B53">
            <w:pPr>
              <w:spacing w:after="0" w:line="240" w:lineRule="auto"/>
              <w:rPr>
                <w:rFonts w:ascii="Times New Roman" w:eastAsia="Times New Roman" w:hAnsi="Times New Roman"/>
                <w:color w:val="000000"/>
                <w:sz w:val="20"/>
                <w:szCs w:val="20"/>
              </w:rPr>
            </w:pPr>
            <w:r>
              <w:rPr>
                <w:rFonts w:ascii="Times New Roman" w:hAnsi="Times New Roman"/>
                <w:color w:val="000000"/>
                <w:sz w:val="20"/>
              </w:rPr>
              <w:t>South</w:t>
            </w:r>
          </w:p>
        </w:tc>
        <w:tc>
          <w:tcPr>
            <w:tcW w:w="647" w:type="pct"/>
            <w:tcBorders>
              <w:top w:val="single" w:sz="4" w:space="0" w:color="auto"/>
              <w:left w:val="single" w:sz="4" w:space="0" w:color="auto"/>
              <w:bottom w:val="single" w:sz="4" w:space="0" w:color="auto"/>
              <w:right w:val="single" w:sz="4" w:space="0" w:color="auto"/>
            </w:tcBorders>
            <w:shd w:val="clear" w:color="000000" w:fill="FCFCFF"/>
            <w:noWrap/>
            <w:vAlign w:val="center"/>
            <w:hideMark/>
          </w:tcPr>
          <w:p w14:paraId="1314C696" w14:textId="77777777" w:rsidR="00A37B53" w:rsidRPr="00A37B53" w:rsidRDefault="00A37B53" w:rsidP="00A37B53">
            <w:pPr>
              <w:spacing w:after="0" w:line="240" w:lineRule="auto"/>
              <w:jc w:val="center"/>
              <w:rPr>
                <w:rFonts w:ascii="Times New Roman" w:eastAsia="Times New Roman" w:hAnsi="Times New Roman"/>
                <w:color w:val="000000"/>
                <w:sz w:val="20"/>
                <w:szCs w:val="20"/>
              </w:rPr>
            </w:pPr>
            <w:r>
              <w:rPr>
                <w:rFonts w:ascii="Times New Roman" w:hAnsi="Times New Roman"/>
                <w:color w:val="000000"/>
                <w:sz w:val="20"/>
              </w:rPr>
              <w:t>0.2</w:t>
            </w:r>
          </w:p>
        </w:tc>
        <w:tc>
          <w:tcPr>
            <w:tcW w:w="647" w:type="pct"/>
            <w:tcBorders>
              <w:top w:val="single" w:sz="4" w:space="0" w:color="auto"/>
              <w:left w:val="single" w:sz="4" w:space="0" w:color="auto"/>
              <w:bottom w:val="single" w:sz="4" w:space="0" w:color="auto"/>
              <w:right w:val="single" w:sz="4" w:space="0" w:color="auto"/>
            </w:tcBorders>
            <w:shd w:val="clear" w:color="000000" w:fill="FBFCFE"/>
            <w:noWrap/>
            <w:vAlign w:val="center"/>
            <w:hideMark/>
          </w:tcPr>
          <w:p w14:paraId="1F131AD9" w14:textId="77777777" w:rsidR="00A37B53" w:rsidRPr="00A37B53" w:rsidRDefault="00A37B53" w:rsidP="00A37B53">
            <w:pPr>
              <w:spacing w:after="0" w:line="240" w:lineRule="auto"/>
              <w:jc w:val="center"/>
              <w:rPr>
                <w:rFonts w:ascii="Times New Roman" w:eastAsia="Times New Roman" w:hAnsi="Times New Roman"/>
                <w:color w:val="000000"/>
                <w:sz w:val="20"/>
                <w:szCs w:val="20"/>
              </w:rPr>
            </w:pPr>
            <w:r>
              <w:rPr>
                <w:rFonts w:ascii="Times New Roman" w:hAnsi="Times New Roman"/>
                <w:color w:val="000000"/>
                <w:sz w:val="20"/>
              </w:rPr>
              <w:t>0.4</w:t>
            </w:r>
          </w:p>
        </w:tc>
        <w:tc>
          <w:tcPr>
            <w:tcW w:w="647" w:type="pct"/>
            <w:tcBorders>
              <w:top w:val="single" w:sz="4" w:space="0" w:color="auto"/>
              <w:left w:val="single" w:sz="4" w:space="0" w:color="auto"/>
              <w:bottom w:val="single" w:sz="4" w:space="0" w:color="auto"/>
              <w:right w:val="single" w:sz="4" w:space="0" w:color="auto"/>
            </w:tcBorders>
            <w:shd w:val="clear" w:color="000000" w:fill="F5FAF9"/>
            <w:noWrap/>
            <w:vAlign w:val="center"/>
            <w:hideMark/>
          </w:tcPr>
          <w:p w14:paraId="3AF9ACB5" w14:textId="77777777" w:rsidR="00A37B53" w:rsidRPr="00A37B53" w:rsidRDefault="00A37B53" w:rsidP="00A37B53">
            <w:pPr>
              <w:spacing w:after="0" w:line="240" w:lineRule="auto"/>
              <w:jc w:val="center"/>
              <w:rPr>
                <w:rFonts w:ascii="Times New Roman" w:eastAsia="Times New Roman" w:hAnsi="Times New Roman"/>
                <w:color w:val="000000"/>
                <w:sz w:val="20"/>
                <w:szCs w:val="20"/>
              </w:rPr>
            </w:pPr>
            <w:r>
              <w:rPr>
                <w:rFonts w:ascii="Times New Roman" w:hAnsi="Times New Roman"/>
                <w:color w:val="000000"/>
                <w:sz w:val="20"/>
              </w:rPr>
              <w:t>0.9</w:t>
            </w:r>
          </w:p>
        </w:tc>
        <w:tc>
          <w:tcPr>
            <w:tcW w:w="647" w:type="pct"/>
            <w:tcBorders>
              <w:top w:val="single" w:sz="4" w:space="0" w:color="auto"/>
              <w:left w:val="single" w:sz="4" w:space="0" w:color="auto"/>
              <w:bottom w:val="single" w:sz="4" w:space="0" w:color="auto"/>
              <w:right w:val="single" w:sz="4" w:space="0" w:color="auto"/>
            </w:tcBorders>
            <w:shd w:val="clear" w:color="000000" w:fill="84CC98"/>
            <w:noWrap/>
            <w:vAlign w:val="center"/>
            <w:hideMark/>
          </w:tcPr>
          <w:p w14:paraId="1763663C" w14:textId="77777777" w:rsidR="00A37B53" w:rsidRPr="00A37B53" w:rsidRDefault="00A37B53" w:rsidP="00A37B53">
            <w:pPr>
              <w:spacing w:after="0" w:line="240" w:lineRule="auto"/>
              <w:jc w:val="center"/>
              <w:rPr>
                <w:rFonts w:ascii="Times New Roman" w:eastAsia="Times New Roman" w:hAnsi="Times New Roman"/>
                <w:color w:val="000000"/>
                <w:sz w:val="20"/>
                <w:szCs w:val="20"/>
              </w:rPr>
            </w:pPr>
            <w:r>
              <w:rPr>
                <w:rFonts w:ascii="Times New Roman" w:hAnsi="Times New Roman"/>
                <w:color w:val="000000"/>
                <w:sz w:val="20"/>
              </w:rPr>
              <w:t>10.4</w:t>
            </w:r>
          </w:p>
        </w:tc>
        <w:tc>
          <w:tcPr>
            <w:tcW w:w="647" w:type="pct"/>
            <w:tcBorders>
              <w:top w:val="single" w:sz="4" w:space="0" w:color="auto"/>
              <w:left w:val="single" w:sz="4" w:space="0" w:color="auto"/>
              <w:bottom w:val="single" w:sz="4" w:space="0" w:color="auto"/>
              <w:right w:val="nil"/>
            </w:tcBorders>
            <w:shd w:val="clear" w:color="000000" w:fill="FBFCFE"/>
            <w:noWrap/>
            <w:vAlign w:val="center"/>
            <w:hideMark/>
          </w:tcPr>
          <w:p w14:paraId="5B55D467" w14:textId="77777777" w:rsidR="00A37B53" w:rsidRPr="00A37B53" w:rsidRDefault="00A37B53" w:rsidP="00A37B53">
            <w:pPr>
              <w:spacing w:after="0" w:line="240" w:lineRule="auto"/>
              <w:jc w:val="center"/>
              <w:rPr>
                <w:rFonts w:ascii="Times New Roman" w:eastAsia="Times New Roman" w:hAnsi="Times New Roman"/>
                <w:color w:val="000000"/>
                <w:sz w:val="20"/>
                <w:szCs w:val="20"/>
              </w:rPr>
            </w:pPr>
            <w:r>
              <w:rPr>
                <w:rFonts w:ascii="Times New Roman" w:hAnsi="Times New Roman"/>
                <w:color w:val="000000"/>
                <w:sz w:val="20"/>
              </w:rPr>
              <w:t>0.4</w:t>
            </w:r>
          </w:p>
        </w:tc>
      </w:tr>
      <w:tr w:rsidR="00A37B53" w:rsidRPr="00A37B53" w14:paraId="6178D1AE" w14:textId="77777777" w:rsidTr="00385866">
        <w:trPr>
          <w:cantSplit/>
          <w:trHeight w:val="180"/>
          <w:jc w:val="center"/>
        </w:trPr>
        <w:tc>
          <w:tcPr>
            <w:tcW w:w="896" w:type="pct"/>
            <w:vMerge/>
            <w:tcBorders>
              <w:top w:val="nil"/>
              <w:left w:val="nil"/>
              <w:bottom w:val="single" w:sz="4" w:space="0" w:color="auto"/>
              <w:right w:val="single" w:sz="4" w:space="0" w:color="auto"/>
            </w:tcBorders>
            <w:vAlign w:val="center"/>
            <w:hideMark/>
          </w:tcPr>
          <w:p w14:paraId="67290E00" w14:textId="77777777" w:rsidR="00A37B53" w:rsidRPr="00A37B53" w:rsidRDefault="00A37B53" w:rsidP="00A37B53">
            <w:pPr>
              <w:spacing w:after="0" w:line="240" w:lineRule="auto"/>
              <w:rPr>
                <w:rFonts w:ascii="Times New Roman" w:eastAsia="Times New Roman" w:hAnsi="Times New Roman"/>
                <w:b/>
                <w:bCs/>
                <w:color w:val="000000"/>
                <w:sz w:val="20"/>
                <w:szCs w:val="20"/>
                <w:lang w:eastAsia="pt-BR"/>
              </w:rPr>
            </w:pPr>
          </w:p>
        </w:tc>
        <w:tc>
          <w:tcPr>
            <w:tcW w:w="869" w:type="pct"/>
            <w:tcBorders>
              <w:top w:val="nil"/>
              <w:left w:val="nil"/>
              <w:bottom w:val="single" w:sz="4" w:space="0" w:color="auto"/>
              <w:right w:val="single" w:sz="4" w:space="0" w:color="auto"/>
            </w:tcBorders>
            <w:shd w:val="clear" w:color="auto" w:fill="auto"/>
            <w:noWrap/>
            <w:vAlign w:val="center"/>
            <w:hideMark/>
          </w:tcPr>
          <w:p w14:paraId="2D0B0126" w14:textId="3E9B7F6D" w:rsidR="00A37B53" w:rsidRPr="00A37B53" w:rsidRDefault="00C03EC0" w:rsidP="00A37B53">
            <w:pPr>
              <w:spacing w:after="0" w:line="240" w:lineRule="auto"/>
              <w:rPr>
                <w:rFonts w:ascii="Times New Roman" w:eastAsia="Times New Roman" w:hAnsi="Times New Roman"/>
                <w:color w:val="000000"/>
                <w:sz w:val="20"/>
                <w:szCs w:val="20"/>
              </w:rPr>
            </w:pPr>
            <w:r>
              <w:rPr>
                <w:rFonts w:ascii="Times New Roman" w:hAnsi="Times New Roman"/>
                <w:color w:val="000000"/>
                <w:sz w:val="20"/>
              </w:rPr>
              <w:t>Midwest</w:t>
            </w:r>
          </w:p>
        </w:tc>
        <w:tc>
          <w:tcPr>
            <w:tcW w:w="647" w:type="pct"/>
            <w:tcBorders>
              <w:top w:val="single" w:sz="4" w:space="0" w:color="auto"/>
              <w:left w:val="single" w:sz="4" w:space="0" w:color="auto"/>
              <w:bottom w:val="single" w:sz="4" w:space="0" w:color="auto"/>
              <w:right w:val="single" w:sz="4" w:space="0" w:color="auto"/>
            </w:tcBorders>
            <w:shd w:val="clear" w:color="000000" w:fill="F8FBFC"/>
            <w:noWrap/>
            <w:vAlign w:val="center"/>
            <w:hideMark/>
          </w:tcPr>
          <w:p w14:paraId="1A37DEE8" w14:textId="77777777" w:rsidR="00A37B53" w:rsidRPr="00A37B53" w:rsidRDefault="00A37B53" w:rsidP="00A37B53">
            <w:pPr>
              <w:spacing w:after="0" w:line="240" w:lineRule="auto"/>
              <w:jc w:val="center"/>
              <w:rPr>
                <w:rFonts w:ascii="Times New Roman" w:eastAsia="Times New Roman" w:hAnsi="Times New Roman"/>
                <w:color w:val="000000"/>
                <w:sz w:val="20"/>
                <w:szCs w:val="20"/>
              </w:rPr>
            </w:pPr>
            <w:r>
              <w:rPr>
                <w:rFonts w:ascii="Times New Roman" w:hAnsi="Times New Roman"/>
                <w:color w:val="000000"/>
                <w:sz w:val="20"/>
              </w:rPr>
              <w:t>0.6</w:t>
            </w:r>
          </w:p>
        </w:tc>
        <w:tc>
          <w:tcPr>
            <w:tcW w:w="647" w:type="pct"/>
            <w:tcBorders>
              <w:top w:val="single" w:sz="4" w:space="0" w:color="auto"/>
              <w:left w:val="single" w:sz="4" w:space="0" w:color="auto"/>
              <w:bottom w:val="single" w:sz="4" w:space="0" w:color="auto"/>
              <w:right w:val="single" w:sz="4" w:space="0" w:color="auto"/>
            </w:tcBorders>
            <w:shd w:val="clear" w:color="000000" w:fill="F6FAFA"/>
            <w:noWrap/>
            <w:vAlign w:val="center"/>
            <w:hideMark/>
          </w:tcPr>
          <w:p w14:paraId="6C6F246C" w14:textId="77777777" w:rsidR="00A37B53" w:rsidRPr="00A37B53" w:rsidRDefault="00A37B53" w:rsidP="00A37B53">
            <w:pPr>
              <w:spacing w:after="0" w:line="240" w:lineRule="auto"/>
              <w:jc w:val="center"/>
              <w:rPr>
                <w:rFonts w:ascii="Times New Roman" w:eastAsia="Times New Roman" w:hAnsi="Times New Roman"/>
                <w:color w:val="000000"/>
                <w:sz w:val="20"/>
                <w:szCs w:val="20"/>
              </w:rPr>
            </w:pPr>
            <w:r>
              <w:rPr>
                <w:rFonts w:ascii="Times New Roman" w:hAnsi="Times New Roman"/>
                <w:color w:val="000000"/>
                <w:sz w:val="20"/>
              </w:rPr>
              <w:t>0.8</w:t>
            </w:r>
          </w:p>
        </w:tc>
        <w:tc>
          <w:tcPr>
            <w:tcW w:w="647" w:type="pct"/>
            <w:tcBorders>
              <w:top w:val="single" w:sz="4" w:space="0" w:color="auto"/>
              <w:left w:val="single" w:sz="4" w:space="0" w:color="auto"/>
              <w:bottom w:val="single" w:sz="4" w:space="0" w:color="auto"/>
              <w:right w:val="single" w:sz="4" w:space="0" w:color="auto"/>
            </w:tcBorders>
            <w:shd w:val="clear" w:color="000000" w:fill="F7FAFB"/>
            <w:noWrap/>
            <w:vAlign w:val="center"/>
            <w:hideMark/>
          </w:tcPr>
          <w:p w14:paraId="7ED541A3" w14:textId="77777777" w:rsidR="00A37B53" w:rsidRPr="00A37B53" w:rsidRDefault="00A37B53" w:rsidP="00A37B53">
            <w:pPr>
              <w:spacing w:after="0" w:line="240" w:lineRule="auto"/>
              <w:jc w:val="center"/>
              <w:rPr>
                <w:rFonts w:ascii="Times New Roman" w:eastAsia="Times New Roman" w:hAnsi="Times New Roman"/>
                <w:color w:val="000000"/>
                <w:sz w:val="20"/>
                <w:szCs w:val="20"/>
              </w:rPr>
            </w:pPr>
            <w:r>
              <w:rPr>
                <w:rFonts w:ascii="Times New Roman" w:hAnsi="Times New Roman"/>
                <w:color w:val="000000"/>
                <w:sz w:val="20"/>
              </w:rPr>
              <w:t>0.7</w:t>
            </w:r>
          </w:p>
        </w:tc>
        <w:tc>
          <w:tcPr>
            <w:tcW w:w="647" w:type="pct"/>
            <w:tcBorders>
              <w:top w:val="single" w:sz="4" w:space="0" w:color="auto"/>
              <w:left w:val="single" w:sz="4" w:space="0" w:color="auto"/>
              <w:bottom w:val="single" w:sz="4" w:space="0" w:color="auto"/>
              <w:right w:val="single" w:sz="4" w:space="0" w:color="auto"/>
            </w:tcBorders>
            <w:shd w:val="clear" w:color="000000" w:fill="F4F9F8"/>
            <w:noWrap/>
            <w:vAlign w:val="center"/>
            <w:hideMark/>
          </w:tcPr>
          <w:p w14:paraId="5643F489" w14:textId="77777777" w:rsidR="00A37B53" w:rsidRPr="00A37B53" w:rsidRDefault="00A37B53" w:rsidP="00A37B53">
            <w:pPr>
              <w:spacing w:after="0" w:line="240" w:lineRule="auto"/>
              <w:jc w:val="center"/>
              <w:rPr>
                <w:rFonts w:ascii="Times New Roman" w:eastAsia="Times New Roman" w:hAnsi="Times New Roman"/>
                <w:color w:val="000000"/>
                <w:sz w:val="20"/>
                <w:szCs w:val="20"/>
              </w:rPr>
            </w:pPr>
            <w:r>
              <w:rPr>
                <w:rFonts w:ascii="Times New Roman" w:hAnsi="Times New Roman"/>
                <w:color w:val="000000"/>
                <w:sz w:val="20"/>
              </w:rPr>
              <w:t>1.0</w:t>
            </w:r>
          </w:p>
        </w:tc>
        <w:tc>
          <w:tcPr>
            <w:tcW w:w="647" w:type="pct"/>
            <w:tcBorders>
              <w:top w:val="single" w:sz="4" w:space="0" w:color="auto"/>
              <w:left w:val="single" w:sz="4" w:space="0" w:color="auto"/>
              <w:bottom w:val="single" w:sz="4" w:space="0" w:color="auto"/>
              <w:right w:val="nil"/>
            </w:tcBorders>
            <w:shd w:val="clear" w:color="000000" w:fill="6CC283"/>
            <w:noWrap/>
            <w:vAlign w:val="center"/>
            <w:hideMark/>
          </w:tcPr>
          <w:p w14:paraId="08092262" w14:textId="77777777" w:rsidR="00A37B53" w:rsidRPr="00A37B53" w:rsidRDefault="00A37B53" w:rsidP="00A37B53">
            <w:pPr>
              <w:spacing w:after="0" w:line="240" w:lineRule="auto"/>
              <w:jc w:val="center"/>
              <w:rPr>
                <w:rFonts w:ascii="Times New Roman" w:eastAsia="Times New Roman" w:hAnsi="Times New Roman"/>
                <w:color w:val="000000"/>
                <w:sz w:val="20"/>
                <w:szCs w:val="20"/>
              </w:rPr>
            </w:pPr>
            <w:r>
              <w:rPr>
                <w:rFonts w:ascii="Times New Roman" w:hAnsi="Times New Roman"/>
                <w:color w:val="000000"/>
                <w:sz w:val="20"/>
              </w:rPr>
              <w:t>12.5</w:t>
            </w:r>
          </w:p>
        </w:tc>
      </w:tr>
      <w:tr w:rsidR="00A37B53" w:rsidRPr="00A37B53" w14:paraId="516F138E" w14:textId="77777777" w:rsidTr="00385866">
        <w:trPr>
          <w:cantSplit/>
          <w:trHeight w:val="180"/>
          <w:jc w:val="center"/>
        </w:trPr>
        <w:tc>
          <w:tcPr>
            <w:tcW w:w="896" w:type="pct"/>
            <w:vMerge/>
            <w:tcBorders>
              <w:top w:val="nil"/>
              <w:left w:val="nil"/>
              <w:bottom w:val="single" w:sz="4" w:space="0" w:color="auto"/>
              <w:right w:val="single" w:sz="4" w:space="0" w:color="auto"/>
            </w:tcBorders>
            <w:vAlign w:val="center"/>
            <w:hideMark/>
          </w:tcPr>
          <w:p w14:paraId="7310F65F" w14:textId="77777777" w:rsidR="00A37B53" w:rsidRPr="00A37B53" w:rsidRDefault="00A37B53" w:rsidP="00A37B53">
            <w:pPr>
              <w:spacing w:after="0" w:line="240" w:lineRule="auto"/>
              <w:rPr>
                <w:rFonts w:ascii="Times New Roman" w:eastAsia="Times New Roman" w:hAnsi="Times New Roman"/>
                <w:b/>
                <w:bCs/>
                <w:color w:val="000000"/>
                <w:sz w:val="20"/>
                <w:szCs w:val="20"/>
                <w:lang w:eastAsia="pt-BR"/>
              </w:rPr>
            </w:pPr>
          </w:p>
        </w:tc>
        <w:tc>
          <w:tcPr>
            <w:tcW w:w="869" w:type="pct"/>
            <w:tcBorders>
              <w:top w:val="nil"/>
              <w:left w:val="nil"/>
              <w:bottom w:val="single" w:sz="4" w:space="0" w:color="auto"/>
              <w:right w:val="single" w:sz="4" w:space="0" w:color="auto"/>
            </w:tcBorders>
            <w:shd w:val="clear" w:color="auto" w:fill="auto"/>
            <w:noWrap/>
            <w:vAlign w:val="center"/>
            <w:hideMark/>
          </w:tcPr>
          <w:p w14:paraId="6CC88582" w14:textId="77777777" w:rsidR="00A37B53" w:rsidRPr="00A37B53" w:rsidRDefault="00A37B53" w:rsidP="00A37B53">
            <w:pPr>
              <w:spacing w:after="0" w:line="240" w:lineRule="auto"/>
              <w:rPr>
                <w:rFonts w:ascii="Times New Roman" w:eastAsia="Times New Roman" w:hAnsi="Times New Roman"/>
                <w:b/>
                <w:bCs/>
                <w:color w:val="000000"/>
                <w:sz w:val="20"/>
                <w:szCs w:val="20"/>
              </w:rPr>
            </w:pPr>
            <w:r>
              <w:rPr>
                <w:rFonts w:ascii="Times New Roman" w:hAnsi="Times New Roman"/>
                <w:b/>
                <w:color w:val="000000"/>
                <w:sz w:val="20"/>
              </w:rPr>
              <w:t>Total</w:t>
            </w:r>
          </w:p>
        </w:tc>
        <w:tc>
          <w:tcPr>
            <w:tcW w:w="647" w:type="pct"/>
            <w:tcBorders>
              <w:top w:val="single" w:sz="4" w:space="0" w:color="auto"/>
              <w:left w:val="single" w:sz="4" w:space="0" w:color="auto"/>
              <w:bottom w:val="single" w:sz="4" w:space="0" w:color="auto"/>
              <w:right w:val="single" w:sz="4" w:space="0" w:color="auto"/>
            </w:tcBorders>
            <w:shd w:val="clear" w:color="000000" w:fill="76C68B"/>
            <w:noWrap/>
            <w:vAlign w:val="center"/>
            <w:hideMark/>
          </w:tcPr>
          <w:p w14:paraId="63B6B4C0" w14:textId="77777777" w:rsidR="00A37B53" w:rsidRPr="00A37B53" w:rsidRDefault="00A37B53" w:rsidP="00A37B53">
            <w:pPr>
              <w:spacing w:after="0" w:line="240" w:lineRule="auto"/>
              <w:jc w:val="center"/>
              <w:rPr>
                <w:rFonts w:ascii="Times New Roman" w:eastAsia="Times New Roman" w:hAnsi="Times New Roman"/>
                <w:b/>
                <w:bCs/>
                <w:color w:val="000000"/>
                <w:sz w:val="20"/>
                <w:szCs w:val="20"/>
              </w:rPr>
            </w:pPr>
            <w:r>
              <w:rPr>
                <w:rFonts w:ascii="Times New Roman" w:hAnsi="Times New Roman"/>
                <w:b/>
                <w:color w:val="000000"/>
                <w:sz w:val="20"/>
              </w:rPr>
              <w:t>17.7</w:t>
            </w:r>
          </w:p>
        </w:tc>
        <w:tc>
          <w:tcPr>
            <w:tcW w:w="647" w:type="pct"/>
            <w:tcBorders>
              <w:top w:val="single" w:sz="4" w:space="0" w:color="auto"/>
              <w:left w:val="single" w:sz="4" w:space="0" w:color="auto"/>
              <w:bottom w:val="single" w:sz="4" w:space="0" w:color="auto"/>
              <w:right w:val="single" w:sz="4" w:space="0" w:color="auto"/>
            </w:tcBorders>
            <w:shd w:val="clear" w:color="000000" w:fill="FCFCFF"/>
            <w:noWrap/>
            <w:vAlign w:val="center"/>
            <w:hideMark/>
          </w:tcPr>
          <w:p w14:paraId="73411292" w14:textId="77777777" w:rsidR="00A37B53" w:rsidRPr="00A37B53" w:rsidRDefault="00A37B53" w:rsidP="00A37B53">
            <w:pPr>
              <w:spacing w:after="0" w:line="240" w:lineRule="auto"/>
              <w:jc w:val="center"/>
              <w:rPr>
                <w:rFonts w:ascii="Times New Roman" w:eastAsia="Times New Roman" w:hAnsi="Times New Roman"/>
                <w:b/>
                <w:bCs/>
                <w:color w:val="000000"/>
                <w:sz w:val="20"/>
                <w:szCs w:val="20"/>
              </w:rPr>
            </w:pPr>
            <w:r>
              <w:rPr>
                <w:rFonts w:ascii="Times New Roman" w:hAnsi="Times New Roman"/>
                <w:b/>
                <w:color w:val="000000"/>
                <w:sz w:val="20"/>
              </w:rPr>
              <w:t>14.6</w:t>
            </w:r>
          </w:p>
        </w:tc>
        <w:tc>
          <w:tcPr>
            <w:tcW w:w="647" w:type="pct"/>
            <w:tcBorders>
              <w:top w:val="single" w:sz="4" w:space="0" w:color="auto"/>
              <w:left w:val="single" w:sz="4" w:space="0" w:color="auto"/>
              <w:bottom w:val="single" w:sz="4" w:space="0" w:color="auto"/>
              <w:right w:val="single" w:sz="4" w:space="0" w:color="auto"/>
            </w:tcBorders>
            <w:shd w:val="clear" w:color="000000" w:fill="D1EBDA"/>
            <w:noWrap/>
            <w:vAlign w:val="center"/>
            <w:hideMark/>
          </w:tcPr>
          <w:p w14:paraId="22726FAA" w14:textId="77777777" w:rsidR="00A37B53" w:rsidRPr="00A37B53" w:rsidRDefault="00A37B53" w:rsidP="00A37B53">
            <w:pPr>
              <w:spacing w:after="0" w:line="240" w:lineRule="auto"/>
              <w:jc w:val="center"/>
              <w:rPr>
                <w:rFonts w:ascii="Times New Roman" w:eastAsia="Times New Roman" w:hAnsi="Times New Roman"/>
                <w:b/>
                <w:bCs/>
                <w:color w:val="000000"/>
                <w:sz w:val="20"/>
                <w:szCs w:val="20"/>
              </w:rPr>
            </w:pPr>
            <w:r>
              <w:rPr>
                <w:rFonts w:ascii="Times New Roman" w:hAnsi="Times New Roman"/>
                <w:b/>
                <w:color w:val="000000"/>
                <w:sz w:val="20"/>
              </w:rPr>
              <w:t>15.6</w:t>
            </w:r>
          </w:p>
        </w:tc>
        <w:tc>
          <w:tcPr>
            <w:tcW w:w="647" w:type="pct"/>
            <w:tcBorders>
              <w:top w:val="single" w:sz="4" w:space="0" w:color="auto"/>
              <w:left w:val="single" w:sz="4" w:space="0" w:color="auto"/>
              <w:bottom w:val="single" w:sz="4" w:space="0" w:color="auto"/>
              <w:right w:val="single" w:sz="4" w:space="0" w:color="auto"/>
            </w:tcBorders>
            <w:shd w:val="clear" w:color="000000" w:fill="99D4AA"/>
            <w:noWrap/>
            <w:vAlign w:val="center"/>
            <w:hideMark/>
          </w:tcPr>
          <w:p w14:paraId="1B3293B8" w14:textId="77777777" w:rsidR="00A37B53" w:rsidRPr="00A37B53" w:rsidRDefault="00A37B53" w:rsidP="00A37B53">
            <w:pPr>
              <w:spacing w:after="0" w:line="240" w:lineRule="auto"/>
              <w:jc w:val="center"/>
              <w:rPr>
                <w:rFonts w:ascii="Times New Roman" w:eastAsia="Times New Roman" w:hAnsi="Times New Roman"/>
                <w:b/>
                <w:bCs/>
                <w:color w:val="000000"/>
                <w:sz w:val="20"/>
                <w:szCs w:val="20"/>
              </w:rPr>
            </w:pPr>
            <w:r>
              <w:rPr>
                <w:rFonts w:ascii="Times New Roman" w:hAnsi="Times New Roman"/>
                <w:b/>
                <w:color w:val="000000"/>
                <w:sz w:val="20"/>
              </w:rPr>
              <w:t>16.9</w:t>
            </w:r>
          </w:p>
        </w:tc>
        <w:tc>
          <w:tcPr>
            <w:tcW w:w="647" w:type="pct"/>
            <w:tcBorders>
              <w:top w:val="single" w:sz="4" w:space="0" w:color="auto"/>
              <w:left w:val="single" w:sz="4" w:space="0" w:color="auto"/>
              <w:bottom w:val="single" w:sz="4" w:space="0" w:color="auto"/>
              <w:right w:val="nil"/>
            </w:tcBorders>
            <w:shd w:val="clear" w:color="000000" w:fill="63BE7B"/>
            <w:noWrap/>
            <w:vAlign w:val="center"/>
            <w:hideMark/>
          </w:tcPr>
          <w:p w14:paraId="7E59ADD7" w14:textId="77777777" w:rsidR="00A37B53" w:rsidRPr="00A37B53" w:rsidRDefault="00A37B53" w:rsidP="00A37B53">
            <w:pPr>
              <w:spacing w:after="0" w:line="240" w:lineRule="auto"/>
              <w:jc w:val="center"/>
              <w:rPr>
                <w:rFonts w:ascii="Times New Roman" w:eastAsia="Times New Roman" w:hAnsi="Times New Roman"/>
                <w:b/>
                <w:bCs/>
                <w:color w:val="000000"/>
                <w:sz w:val="20"/>
                <w:szCs w:val="20"/>
              </w:rPr>
            </w:pPr>
            <w:r>
              <w:rPr>
                <w:rFonts w:ascii="Times New Roman" w:hAnsi="Times New Roman"/>
                <w:b/>
                <w:color w:val="000000"/>
                <w:sz w:val="20"/>
              </w:rPr>
              <w:t>18.1</w:t>
            </w:r>
          </w:p>
        </w:tc>
      </w:tr>
      <w:tr w:rsidR="00A37B53" w:rsidRPr="00A37B53" w14:paraId="1D818A60" w14:textId="77777777" w:rsidTr="00385866">
        <w:trPr>
          <w:cantSplit/>
          <w:trHeight w:val="180"/>
          <w:jc w:val="center"/>
        </w:trPr>
        <w:tc>
          <w:tcPr>
            <w:tcW w:w="896" w:type="pct"/>
            <w:vMerge w:val="restart"/>
            <w:tcBorders>
              <w:top w:val="nil"/>
              <w:left w:val="nil"/>
              <w:bottom w:val="single" w:sz="4" w:space="0" w:color="auto"/>
              <w:right w:val="single" w:sz="4" w:space="0" w:color="auto"/>
            </w:tcBorders>
            <w:shd w:val="clear" w:color="auto" w:fill="auto"/>
            <w:vAlign w:val="center"/>
            <w:hideMark/>
          </w:tcPr>
          <w:p w14:paraId="2D4E1191" w14:textId="77777777" w:rsidR="00A37B53" w:rsidRPr="00A37B53" w:rsidRDefault="00A37B53" w:rsidP="00A37B53">
            <w:pPr>
              <w:spacing w:after="0" w:line="240" w:lineRule="auto"/>
              <w:rPr>
                <w:rFonts w:ascii="Times New Roman" w:eastAsia="Times New Roman" w:hAnsi="Times New Roman"/>
                <w:b/>
                <w:bCs/>
                <w:color w:val="000000"/>
                <w:sz w:val="20"/>
                <w:szCs w:val="20"/>
              </w:rPr>
            </w:pPr>
            <w:r>
              <w:rPr>
                <w:rFonts w:ascii="Times New Roman" w:hAnsi="Times New Roman"/>
                <w:b/>
                <w:color w:val="000000"/>
                <w:sz w:val="20"/>
              </w:rPr>
              <w:t>Wages*</w:t>
            </w:r>
          </w:p>
        </w:tc>
        <w:tc>
          <w:tcPr>
            <w:tcW w:w="869" w:type="pct"/>
            <w:tcBorders>
              <w:top w:val="nil"/>
              <w:left w:val="nil"/>
              <w:bottom w:val="single" w:sz="4" w:space="0" w:color="auto"/>
              <w:right w:val="single" w:sz="4" w:space="0" w:color="auto"/>
            </w:tcBorders>
            <w:shd w:val="clear" w:color="auto" w:fill="auto"/>
            <w:noWrap/>
            <w:vAlign w:val="center"/>
            <w:hideMark/>
          </w:tcPr>
          <w:p w14:paraId="2704BF7E" w14:textId="77777777" w:rsidR="00A37B53" w:rsidRPr="00A37B53" w:rsidRDefault="00A37B53" w:rsidP="00A37B53">
            <w:pPr>
              <w:spacing w:after="0" w:line="240" w:lineRule="auto"/>
              <w:rPr>
                <w:rFonts w:ascii="Times New Roman" w:eastAsia="Times New Roman" w:hAnsi="Times New Roman"/>
                <w:color w:val="000000"/>
                <w:sz w:val="20"/>
                <w:szCs w:val="20"/>
              </w:rPr>
            </w:pPr>
            <w:r>
              <w:rPr>
                <w:rFonts w:ascii="Times New Roman" w:hAnsi="Times New Roman"/>
                <w:color w:val="000000"/>
                <w:sz w:val="20"/>
              </w:rPr>
              <w:t>North</w:t>
            </w:r>
          </w:p>
        </w:tc>
        <w:tc>
          <w:tcPr>
            <w:tcW w:w="647" w:type="pct"/>
            <w:tcBorders>
              <w:top w:val="single" w:sz="4" w:space="0" w:color="auto"/>
              <w:left w:val="single" w:sz="4" w:space="0" w:color="auto"/>
              <w:bottom w:val="single" w:sz="4" w:space="0" w:color="auto"/>
              <w:right w:val="single" w:sz="4" w:space="0" w:color="auto"/>
            </w:tcBorders>
            <w:shd w:val="clear" w:color="000000" w:fill="99D4AA"/>
            <w:noWrap/>
            <w:vAlign w:val="center"/>
            <w:hideMark/>
          </w:tcPr>
          <w:p w14:paraId="7C331A1D" w14:textId="77777777" w:rsidR="00A37B53" w:rsidRPr="00A37B53" w:rsidRDefault="00A37B53" w:rsidP="00A37B53">
            <w:pPr>
              <w:spacing w:after="0" w:line="240" w:lineRule="auto"/>
              <w:jc w:val="center"/>
              <w:rPr>
                <w:rFonts w:ascii="Times New Roman" w:eastAsia="Times New Roman" w:hAnsi="Times New Roman"/>
                <w:color w:val="000000"/>
                <w:sz w:val="20"/>
                <w:szCs w:val="20"/>
              </w:rPr>
            </w:pPr>
            <w:r>
              <w:rPr>
                <w:rFonts w:ascii="Times New Roman" w:hAnsi="Times New Roman"/>
                <w:color w:val="000000"/>
                <w:sz w:val="20"/>
              </w:rPr>
              <w:t>3.8</w:t>
            </w:r>
          </w:p>
        </w:tc>
        <w:tc>
          <w:tcPr>
            <w:tcW w:w="647" w:type="pct"/>
            <w:tcBorders>
              <w:top w:val="single" w:sz="4" w:space="0" w:color="auto"/>
              <w:left w:val="single" w:sz="4" w:space="0" w:color="auto"/>
              <w:bottom w:val="single" w:sz="4" w:space="0" w:color="auto"/>
              <w:right w:val="single" w:sz="4" w:space="0" w:color="auto"/>
            </w:tcBorders>
            <w:shd w:val="clear" w:color="000000" w:fill="FAFCFE"/>
            <w:noWrap/>
            <w:vAlign w:val="center"/>
            <w:hideMark/>
          </w:tcPr>
          <w:p w14:paraId="4F7DC677" w14:textId="77777777" w:rsidR="00A37B53" w:rsidRPr="00A37B53" w:rsidRDefault="00A37B53" w:rsidP="00A37B53">
            <w:pPr>
              <w:spacing w:after="0" w:line="240" w:lineRule="auto"/>
              <w:jc w:val="center"/>
              <w:rPr>
                <w:rFonts w:ascii="Times New Roman" w:eastAsia="Times New Roman" w:hAnsi="Times New Roman"/>
                <w:color w:val="000000"/>
                <w:sz w:val="20"/>
                <w:szCs w:val="20"/>
              </w:rPr>
            </w:pPr>
            <w:r>
              <w:rPr>
                <w:rFonts w:ascii="Times New Roman" w:hAnsi="Times New Roman"/>
                <w:color w:val="000000"/>
                <w:sz w:val="20"/>
              </w:rPr>
              <w:t>0.2</w:t>
            </w:r>
          </w:p>
        </w:tc>
        <w:tc>
          <w:tcPr>
            <w:tcW w:w="647" w:type="pct"/>
            <w:tcBorders>
              <w:top w:val="single" w:sz="4" w:space="0" w:color="auto"/>
              <w:left w:val="single" w:sz="4" w:space="0" w:color="auto"/>
              <w:bottom w:val="single" w:sz="4" w:space="0" w:color="auto"/>
              <w:right w:val="single" w:sz="4" w:space="0" w:color="auto"/>
            </w:tcBorders>
            <w:shd w:val="clear" w:color="000000" w:fill="FBFCFF"/>
            <w:noWrap/>
            <w:vAlign w:val="center"/>
            <w:hideMark/>
          </w:tcPr>
          <w:p w14:paraId="2733ADDB" w14:textId="77777777" w:rsidR="00A37B53" w:rsidRPr="00A37B53" w:rsidRDefault="00A37B53" w:rsidP="00A37B53">
            <w:pPr>
              <w:spacing w:after="0" w:line="240" w:lineRule="auto"/>
              <w:jc w:val="center"/>
              <w:rPr>
                <w:rFonts w:ascii="Times New Roman" w:eastAsia="Times New Roman" w:hAnsi="Times New Roman"/>
                <w:color w:val="000000"/>
                <w:sz w:val="20"/>
                <w:szCs w:val="20"/>
              </w:rPr>
            </w:pPr>
            <w:r>
              <w:rPr>
                <w:rFonts w:ascii="Times New Roman" w:hAnsi="Times New Roman"/>
                <w:color w:val="000000"/>
                <w:sz w:val="20"/>
              </w:rPr>
              <w:t>0.2</w:t>
            </w:r>
          </w:p>
        </w:tc>
        <w:tc>
          <w:tcPr>
            <w:tcW w:w="647" w:type="pct"/>
            <w:tcBorders>
              <w:top w:val="single" w:sz="4" w:space="0" w:color="auto"/>
              <w:left w:val="single" w:sz="4" w:space="0" w:color="auto"/>
              <w:bottom w:val="single" w:sz="4" w:space="0" w:color="auto"/>
              <w:right w:val="single" w:sz="4" w:space="0" w:color="auto"/>
            </w:tcBorders>
            <w:shd w:val="clear" w:color="000000" w:fill="FCFCFF"/>
            <w:noWrap/>
            <w:vAlign w:val="center"/>
            <w:hideMark/>
          </w:tcPr>
          <w:p w14:paraId="04A1703F" w14:textId="77777777" w:rsidR="00A37B53" w:rsidRPr="00A37B53" w:rsidRDefault="00A37B53" w:rsidP="00A37B53">
            <w:pPr>
              <w:spacing w:after="0" w:line="240" w:lineRule="auto"/>
              <w:jc w:val="center"/>
              <w:rPr>
                <w:rFonts w:ascii="Times New Roman" w:eastAsia="Times New Roman" w:hAnsi="Times New Roman"/>
                <w:color w:val="000000"/>
                <w:sz w:val="20"/>
                <w:szCs w:val="20"/>
              </w:rPr>
            </w:pPr>
            <w:r>
              <w:rPr>
                <w:rFonts w:ascii="Times New Roman" w:hAnsi="Times New Roman"/>
                <w:color w:val="000000"/>
                <w:sz w:val="20"/>
              </w:rPr>
              <w:t>0.1</w:t>
            </w:r>
          </w:p>
        </w:tc>
        <w:tc>
          <w:tcPr>
            <w:tcW w:w="647" w:type="pct"/>
            <w:tcBorders>
              <w:top w:val="single" w:sz="4" w:space="0" w:color="auto"/>
              <w:left w:val="single" w:sz="4" w:space="0" w:color="auto"/>
              <w:bottom w:val="single" w:sz="4" w:space="0" w:color="auto"/>
              <w:right w:val="nil"/>
            </w:tcBorders>
            <w:shd w:val="clear" w:color="000000" w:fill="FCFCFF"/>
            <w:noWrap/>
            <w:vAlign w:val="center"/>
            <w:hideMark/>
          </w:tcPr>
          <w:p w14:paraId="405BD184" w14:textId="77777777" w:rsidR="00A37B53" w:rsidRPr="00A37B53" w:rsidRDefault="00A37B53" w:rsidP="00A37B53">
            <w:pPr>
              <w:spacing w:after="0" w:line="240" w:lineRule="auto"/>
              <w:jc w:val="center"/>
              <w:rPr>
                <w:rFonts w:ascii="Times New Roman" w:eastAsia="Times New Roman" w:hAnsi="Times New Roman"/>
                <w:color w:val="000000"/>
                <w:sz w:val="20"/>
                <w:szCs w:val="20"/>
              </w:rPr>
            </w:pPr>
            <w:r>
              <w:rPr>
                <w:rFonts w:ascii="Times New Roman" w:hAnsi="Times New Roman"/>
                <w:color w:val="000000"/>
                <w:sz w:val="20"/>
              </w:rPr>
              <w:t>0.2</w:t>
            </w:r>
          </w:p>
        </w:tc>
      </w:tr>
      <w:tr w:rsidR="00A37B53" w:rsidRPr="00A37B53" w14:paraId="692AE405" w14:textId="77777777" w:rsidTr="00385866">
        <w:trPr>
          <w:cantSplit/>
          <w:trHeight w:val="180"/>
          <w:jc w:val="center"/>
        </w:trPr>
        <w:tc>
          <w:tcPr>
            <w:tcW w:w="896" w:type="pct"/>
            <w:vMerge/>
            <w:tcBorders>
              <w:top w:val="nil"/>
              <w:left w:val="nil"/>
              <w:bottom w:val="single" w:sz="4" w:space="0" w:color="auto"/>
              <w:right w:val="single" w:sz="4" w:space="0" w:color="auto"/>
            </w:tcBorders>
            <w:vAlign w:val="center"/>
            <w:hideMark/>
          </w:tcPr>
          <w:p w14:paraId="0DA63B0D" w14:textId="77777777" w:rsidR="00A37B53" w:rsidRPr="00A37B53" w:rsidRDefault="00A37B53" w:rsidP="00A37B53">
            <w:pPr>
              <w:spacing w:after="0" w:line="240" w:lineRule="auto"/>
              <w:rPr>
                <w:rFonts w:ascii="Times New Roman" w:eastAsia="Times New Roman" w:hAnsi="Times New Roman"/>
                <w:b/>
                <w:bCs/>
                <w:color w:val="000000"/>
                <w:sz w:val="20"/>
                <w:szCs w:val="20"/>
                <w:lang w:eastAsia="pt-BR"/>
              </w:rPr>
            </w:pPr>
          </w:p>
        </w:tc>
        <w:tc>
          <w:tcPr>
            <w:tcW w:w="869" w:type="pct"/>
            <w:tcBorders>
              <w:top w:val="nil"/>
              <w:left w:val="nil"/>
              <w:bottom w:val="single" w:sz="4" w:space="0" w:color="auto"/>
              <w:right w:val="single" w:sz="4" w:space="0" w:color="auto"/>
            </w:tcBorders>
            <w:shd w:val="clear" w:color="auto" w:fill="auto"/>
            <w:noWrap/>
            <w:vAlign w:val="center"/>
            <w:hideMark/>
          </w:tcPr>
          <w:p w14:paraId="3D3421B6" w14:textId="77777777" w:rsidR="00A37B53" w:rsidRPr="00A37B53" w:rsidRDefault="00A37B53" w:rsidP="00A37B53">
            <w:pPr>
              <w:spacing w:after="0" w:line="240" w:lineRule="auto"/>
              <w:rPr>
                <w:rFonts w:ascii="Times New Roman" w:eastAsia="Times New Roman" w:hAnsi="Times New Roman"/>
                <w:color w:val="000000"/>
                <w:sz w:val="20"/>
                <w:szCs w:val="20"/>
              </w:rPr>
            </w:pPr>
            <w:r>
              <w:rPr>
                <w:rFonts w:ascii="Times New Roman" w:hAnsi="Times New Roman"/>
                <w:color w:val="000000"/>
                <w:sz w:val="20"/>
              </w:rPr>
              <w:t>Northeast</w:t>
            </w:r>
          </w:p>
        </w:tc>
        <w:tc>
          <w:tcPr>
            <w:tcW w:w="647" w:type="pct"/>
            <w:tcBorders>
              <w:top w:val="single" w:sz="4" w:space="0" w:color="auto"/>
              <w:left w:val="single" w:sz="4" w:space="0" w:color="auto"/>
              <w:bottom w:val="single" w:sz="4" w:space="0" w:color="auto"/>
              <w:right w:val="single" w:sz="4" w:space="0" w:color="auto"/>
            </w:tcBorders>
            <w:shd w:val="clear" w:color="000000" w:fill="FAFBFD"/>
            <w:noWrap/>
            <w:vAlign w:val="center"/>
            <w:hideMark/>
          </w:tcPr>
          <w:p w14:paraId="13FE219B" w14:textId="77777777" w:rsidR="00A37B53" w:rsidRPr="00A37B53" w:rsidRDefault="00A37B53" w:rsidP="00A37B53">
            <w:pPr>
              <w:spacing w:after="0" w:line="240" w:lineRule="auto"/>
              <w:jc w:val="center"/>
              <w:rPr>
                <w:rFonts w:ascii="Times New Roman" w:eastAsia="Times New Roman" w:hAnsi="Times New Roman"/>
                <w:color w:val="000000"/>
                <w:sz w:val="20"/>
                <w:szCs w:val="20"/>
              </w:rPr>
            </w:pPr>
            <w:r>
              <w:rPr>
                <w:rFonts w:ascii="Times New Roman" w:hAnsi="Times New Roman"/>
                <w:color w:val="000000"/>
                <w:sz w:val="20"/>
              </w:rPr>
              <w:t>0.2</w:t>
            </w:r>
          </w:p>
        </w:tc>
        <w:tc>
          <w:tcPr>
            <w:tcW w:w="647" w:type="pct"/>
            <w:tcBorders>
              <w:top w:val="single" w:sz="4" w:space="0" w:color="auto"/>
              <w:left w:val="single" w:sz="4" w:space="0" w:color="auto"/>
              <w:bottom w:val="single" w:sz="4" w:space="0" w:color="auto"/>
              <w:right w:val="single" w:sz="4" w:space="0" w:color="auto"/>
            </w:tcBorders>
            <w:shd w:val="clear" w:color="000000" w:fill="A3D8B2"/>
            <w:noWrap/>
            <w:vAlign w:val="center"/>
            <w:hideMark/>
          </w:tcPr>
          <w:p w14:paraId="175BECA9" w14:textId="77777777" w:rsidR="00A37B53" w:rsidRPr="00A37B53" w:rsidRDefault="00A37B53" w:rsidP="00A37B53">
            <w:pPr>
              <w:spacing w:after="0" w:line="240" w:lineRule="auto"/>
              <w:jc w:val="center"/>
              <w:rPr>
                <w:rFonts w:ascii="Times New Roman" w:eastAsia="Times New Roman" w:hAnsi="Times New Roman"/>
                <w:color w:val="000000"/>
                <w:sz w:val="20"/>
                <w:szCs w:val="20"/>
              </w:rPr>
            </w:pPr>
            <w:r>
              <w:rPr>
                <w:rFonts w:ascii="Times New Roman" w:hAnsi="Times New Roman"/>
                <w:color w:val="000000"/>
                <w:sz w:val="20"/>
              </w:rPr>
              <w:t>3.4</w:t>
            </w:r>
          </w:p>
        </w:tc>
        <w:tc>
          <w:tcPr>
            <w:tcW w:w="647" w:type="pct"/>
            <w:tcBorders>
              <w:top w:val="single" w:sz="4" w:space="0" w:color="auto"/>
              <w:left w:val="single" w:sz="4" w:space="0" w:color="auto"/>
              <w:bottom w:val="single" w:sz="4" w:space="0" w:color="auto"/>
              <w:right w:val="single" w:sz="4" w:space="0" w:color="auto"/>
            </w:tcBorders>
            <w:shd w:val="clear" w:color="000000" w:fill="FBFCFE"/>
            <w:noWrap/>
            <w:vAlign w:val="center"/>
            <w:hideMark/>
          </w:tcPr>
          <w:p w14:paraId="3C92CF75" w14:textId="77777777" w:rsidR="00A37B53" w:rsidRPr="00A37B53" w:rsidRDefault="00A37B53" w:rsidP="00A37B53">
            <w:pPr>
              <w:spacing w:after="0" w:line="240" w:lineRule="auto"/>
              <w:jc w:val="center"/>
              <w:rPr>
                <w:rFonts w:ascii="Times New Roman" w:eastAsia="Times New Roman" w:hAnsi="Times New Roman"/>
                <w:color w:val="000000"/>
                <w:sz w:val="20"/>
                <w:szCs w:val="20"/>
              </w:rPr>
            </w:pPr>
            <w:r>
              <w:rPr>
                <w:rFonts w:ascii="Times New Roman" w:hAnsi="Times New Roman"/>
                <w:color w:val="000000"/>
                <w:sz w:val="20"/>
              </w:rPr>
              <w:t>0.2</w:t>
            </w:r>
          </w:p>
        </w:tc>
        <w:tc>
          <w:tcPr>
            <w:tcW w:w="647" w:type="pct"/>
            <w:tcBorders>
              <w:top w:val="single" w:sz="4" w:space="0" w:color="auto"/>
              <w:left w:val="single" w:sz="4" w:space="0" w:color="auto"/>
              <w:bottom w:val="single" w:sz="4" w:space="0" w:color="auto"/>
              <w:right w:val="single" w:sz="4" w:space="0" w:color="auto"/>
            </w:tcBorders>
            <w:shd w:val="clear" w:color="000000" w:fill="FBFCFE"/>
            <w:noWrap/>
            <w:vAlign w:val="center"/>
            <w:hideMark/>
          </w:tcPr>
          <w:p w14:paraId="672DA0F4" w14:textId="77777777" w:rsidR="00A37B53" w:rsidRPr="00A37B53" w:rsidRDefault="00A37B53" w:rsidP="00A37B53">
            <w:pPr>
              <w:spacing w:after="0" w:line="240" w:lineRule="auto"/>
              <w:jc w:val="center"/>
              <w:rPr>
                <w:rFonts w:ascii="Times New Roman" w:eastAsia="Times New Roman" w:hAnsi="Times New Roman"/>
                <w:color w:val="000000"/>
                <w:sz w:val="20"/>
                <w:szCs w:val="20"/>
              </w:rPr>
            </w:pPr>
            <w:r>
              <w:rPr>
                <w:rFonts w:ascii="Times New Roman" w:hAnsi="Times New Roman"/>
                <w:color w:val="000000"/>
                <w:sz w:val="20"/>
              </w:rPr>
              <w:t>0.2</w:t>
            </w:r>
          </w:p>
        </w:tc>
        <w:tc>
          <w:tcPr>
            <w:tcW w:w="647" w:type="pct"/>
            <w:tcBorders>
              <w:top w:val="single" w:sz="4" w:space="0" w:color="auto"/>
              <w:left w:val="single" w:sz="4" w:space="0" w:color="auto"/>
              <w:bottom w:val="single" w:sz="4" w:space="0" w:color="auto"/>
              <w:right w:val="nil"/>
            </w:tcBorders>
            <w:shd w:val="clear" w:color="000000" w:fill="FBFCFE"/>
            <w:noWrap/>
            <w:vAlign w:val="center"/>
            <w:hideMark/>
          </w:tcPr>
          <w:p w14:paraId="5C84AE98" w14:textId="77777777" w:rsidR="00A37B53" w:rsidRPr="00A37B53" w:rsidRDefault="00A37B53" w:rsidP="00A37B53">
            <w:pPr>
              <w:spacing w:after="0" w:line="240" w:lineRule="auto"/>
              <w:jc w:val="center"/>
              <w:rPr>
                <w:rFonts w:ascii="Times New Roman" w:eastAsia="Times New Roman" w:hAnsi="Times New Roman"/>
                <w:color w:val="000000"/>
                <w:sz w:val="20"/>
                <w:szCs w:val="20"/>
              </w:rPr>
            </w:pPr>
            <w:r>
              <w:rPr>
                <w:rFonts w:ascii="Times New Roman" w:hAnsi="Times New Roman"/>
                <w:color w:val="000000"/>
                <w:sz w:val="20"/>
              </w:rPr>
              <w:t>0.2</w:t>
            </w:r>
          </w:p>
        </w:tc>
      </w:tr>
      <w:tr w:rsidR="00A37B53" w:rsidRPr="00A37B53" w14:paraId="436EF7E2" w14:textId="77777777" w:rsidTr="00385866">
        <w:trPr>
          <w:cantSplit/>
          <w:trHeight w:val="180"/>
          <w:jc w:val="center"/>
        </w:trPr>
        <w:tc>
          <w:tcPr>
            <w:tcW w:w="896" w:type="pct"/>
            <w:vMerge/>
            <w:tcBorders>
              <w:top w:val="nil"/>
              <w:left w:val="nil"/>
              <w:bottom w:val="single" w:sz="4" w:space="0" w:color="auto"/>
              <w:right w:val="single" w:sz="4" w:space="0" w:color="auto"/>
            </w:tcBorders>
            <w:vAlign w:val="center"/>
            <w:hideMark/>
          </w:tcPr>
          <w:p w14:paraId="2D7A75C0" w14:textId="77777777" w:rsidR="00A37B53" w:rsidRPr="00A37B53" w:rsidRDefault="00A37B53" w:rsidP="00A37B53">
            <w:pPr>
              <w:spacing w:after="0" w:line="240" w:lineRule="auto"/>
              <w:rPr>
                <w:rFonts w:ascii="Times New Roman" w:eastAsia="Times New Roman" w:hAnsi="Times New Roman"/>
                <w:b/>
                <w:bCs/>
                <w:color w:val="000000"/>
                <w:sz w:val="20"/>
                <w:szCs w:val="20"/>
                <w:lang w:eastAsia="pt-BR"/>
              </w:rPr>
            </w:pPr>
          </w:p>
        </w:tc>
        <w:tc>
          <w:tcPr>
            <w:tcW w:w="869" w:type="pct"/>
            <w:tcBorders>
              <w:top w:val="nil"/>
              <w:left w:val="nil"/>
              <w:bottom w:val="single" w:sz="4" w:space="0" w:color="auto"/>
              <w:right w:val="single" w:sz="4" w:space="0" w:color="auto"/>
            </w:tcBorders>
            <w:shd w:val="clear" w:color="auto" w:fill="auto"/>
            <w:noWrap/>
            <w:vAlign w:val="center"/>
            <w:hideMark/>
          </w:tcPr>
          <w:p w14:paraId="4E0409BC" w14:textId="77777777" w:rsidR="00A37B53" w:rsidRPr="00A37B53" w:rsidRDefault="00A37B53" w:rsidP="00A37B53">
            <w:pPr>
              <w:spacing w:after="0" w:line="240" w:lineRule="auto"/>
              <w:rPr>
                <w:rFonts w:ascii="Times New Roman" w:eastAsia="Times New Roman" w:hAnsi="Times New Roman"/>
                <w:color w:val="000000"/>
                <w:sz w:val="20"/>
                <w:szCs w:val="20"/>
              </w:rPr>
            </w:pPr>
            <w:r>
              <w:rPr>
                <w:rFonts w:ascii="Times New Roman" w:hAnsi="Times New Roman"/>
                <w:color w:val="000000"/>
                <w:sz w:val="20"/>
              </w:rPr>
              <w:t>Southeast</w:t>
            </w:r>
          </w:p>
        </w:tc>
        <w:tc>
          <w:tcPr>
            <w:tcW w:w="647" w:type="pct"/>
            <w:tcBorders>
              <w:top w:val="single" w:sz="4" w:space="0" w:color="auto"/>
              <w:left w:val="single" w:sz="4" w:space="0" w:color="auto"/>
              <w:bottom w:val="single" w:sz="4" w:space="0" w:color="auto"/>
              <w:right w:val="single" w:sz="4" w:space="0" w:color="auto"/>
            </w:tcBorders>
            <w:shd w:val="clear" w:color="000000" w:fill="CDE9D7"/>
            <w:noWrap/>
            <w:vAlign w:val="center"/>
            <w:hideMark/>
          </w:tcPr>
          <w:p w14:paraId="0BF659FA" w14:textId="77777777" w:rsidR="00A37B53" w:rsidRPr="00A37B53" w:rsidRDefault="00A37B53" w:rsidP="00A37B53">
            <w:pPr>
              <w:spacing w:after="0" w:line="240" w:lineRule="auto"/>
              <w:jc w:val="center"/>
              <w:rPr>
                <w:rFonts w:ascii="Times New Roman" w:eastAsia="Times New Roman" w:hAnsi="Times New Roman"/>
                <w:color w:val="000000"/>
                <w:sz w:val="20"/>
                <w:szCs w:val="20"/>
              </w:rPr>
            </w:pPr>
            <w:r>
              <w:rPr>
                <w:rFonts w:ascii="Times New Roman" w:hAnsi="Times New Roman"/>
                <w:color w:val="000000"/>
                <w:sz w:val="20"/>
              </w:rPr>
              <w:t>1.9</w:t>
            </w:r>
          </w:p>
        </w:tc>
        <w:tc>
          <w:tcPr>
            <w:tcW w:w="647" w:type="pct"/>
            <w:tcBorders>
              <w:top w:val="single" w:sz="4" w:space="0" w:color="auto"/>
              <w:left w:val="single" w:sz="4" w:space="0" w:color="auto"/>
              <w:bottom w:val="single" w:sz="4" w:space="0" w:color="auto"/>
              <w:right w:val="single" w:sz="4" w:space="0" w:color="auto"/>
            </w:tcBorders>
            <w:shd w:val="clear" w:color="000000" w:fill="BCE2C8"/>
            <w:noWrap/>
            <w:vAlign w:val="center"/>
            <w:hideMark/>
          </w:tcPr>
          <w:p w14:paraId="04E675C9" w14:textId="77777777" w:rsidR="00A37B53" w:rsidRPr="00A37B53" w:rsidRDefault="00A37B53" w:rsidP="00A37B53">
            <w:pPr>
              <w:spacing w:after="0" w:line="240" w:lineRule="auto"/>
              <w:jc w:val="center"/>
              <w:rPr>
                <w:rFonts w:ascii="Times New Roman" w:eastAsia="Times New Roman" w:hAnsi="Times New Roman"/>
                <w:color w:val="000000"/>
                <w:sz w:val="20"/>
                <w:szCs w:val="20"/>
              </w:rPr>
            </w:pPr>
            <w:r>
              <w:rPr>
                <w:rFonts w:ascii="Times New Roman" w:hAnsi="Times New Roman"/>
                <w:color w:val="000000"/>
                <w:sz w:val="20"/>
              </w:rPr>
              <w:t>2.5</w:t>
            </w:r>
          </w:p>
        </w:tc>
        <w:tc>
          <w:tcPr>
            <w:tcW w:w="647" w:type="pct"/>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184148B5" w14:textId="77777777" w:rsidR="00A37B53" w:rsidRPr="00A37B53" w:rsidRDefault="00A37B53" w:rsidP="00A37B53">
            <w:pPr>
              <w:spacing w:after="0" w:line="240" w:lineRule="auto"/>
              <w:jc w:val="center"/>
              <w:rPr>
                <w:rFonts w:ascii="Times New Roman" w:eastAsia="Times New Roman" w:hAnsi="Times New Roman"/>
                <w:color w:val="000000"/>
                <w:sz w:val="20"/>
                <w:szCs w:val="20"/>
              </w:rPr>
            </w:pPr>
            <w:r>
              <w:rPr>
                <w:rFonts w:ascii="Times New Roman" w:hAnsi="Times New Roman"/>
                <w:color w:val="000000"/>
                <w:sz w:val="20"/>
              </w:rPr>
              <w:t>5.7</w:t>
            </w:r>
          </w:p>
        </w:tc>
        <w:tc>
          <w:tcPr>
            <w:tcW w:w="647" w:type="pct"/>
            <w:tcBorders>
              <w:top w:val="single" w:sz="4" w:space="0" w:color="auto"/>
              <w:left w:val="single" w:sz="4" w:space="0" w:color="auto"/>
              <w:bottom w:val="single" w:sz="4" w:space="0" w:color="auto"/>
              <w:right w:val="single" w:sz="4" w:space="0" w:color="auto"/>
            </w:tcBorders>
            <w:shd w:val="clear" w:color="000000" w:fill="C5E6CF"/>
            <w:noWrap/>
            <w:vAlign w:val="center"/>
            <w:hideMark/>
          </w:tcPr>
          <w:p w14:paraId="1B8F136F" w14:textId="77777777" w:rsidR="00A37B53" w:rsidRPr="00A37B53" w:rsidRDefault="00A37B53" w:rsidP="00A37B53">
            <w:pPr>
              <w:spacing w:after="0" w:line="240" w:lineRule="auto"/>
              <w:jc w:val="center"/>
              <w:rPr>
                <w:rFonts w:ascii="Times New Roman" w:eastAsia="Times New Roman" w:hAnsi="Times New Roman"/>
                <w:color w:val="000000"/>
                <w:sz w:val="20"/>
                <w:szCs w:val="20"/>
              </w:rPr>
            </w:pPr>
            <w:r>
              <w:rPr>
                <w:rFonts w:ascii="Times New Roman" w:hAnsi="Times New Roman"/>
                <w:color w:val="000000"/>
                <w:sz w:val="20"/>
              </w:rPr>
              <w:t>2.2</w:t>
            </w:r>
          </w:p>
        </w:tc>
        <w:tc>
          <w:tcPr>
            <w:tcW w:w="647" w:type="pct"/>
            <w:tcBorders>
              <w:top w:val="single" w:sz="4" w:space="0" w:color="auto"/>
              <w:left w:val="single" w:sz="4" w:space="0" w:color="auto"/>
              <w:bottom w:val="single" w:sz="4" w:space="0" w:color="auto"/>
              <w:right w:val="nil"/>
            </w:tcBorders>
            <w:shd w:val="clear" w:color="000000" w:fill="C5E6D0"/>
            <w:noWrap/>
            <w:vAlign w:val="center"/>
            <w:hideMark/>
          </w:tcPr>
          <w:p w14:paraId="5AE94E55" w14:textId="77777777" w:rsidR="00A37B53" w:rsidRPr="00A37B53" w:rsidRDefault="00A37B53" w:rsidP="00A37B53">
            <w:pPr>
              <w:spacing w:after="0" w:line="240" w:lineRule="auto"/>
              <w:jc w:val="center"/>
              <w:rPr>
                <w:rFonts w:ascii="Times New Roman" w:eastAsia="Times New Roman" w:hAnsi="Times New Roman"/>
                <w:color w:val="000000"/>
                <w:sz w:val="20"/>
                <w:szCs w:val="20"/>
              </w:rPr>
            </w:pPr>
            <w:r>
              <w:rPr>
                <w:rFonts w:ascii="Times New Roman" w:hAnsi="Times New Roman"/>
                <w:color w:val="000000"/>
                <w:sz w:val="20"/>
              </w:rPr>
              <w:t>2.1</w:t>
            </w:r>
          </w:p>
        </w:tc>
      </w:tr>
      <w:tr w:rsidR="00A37B53" w:rsidRPr="00A37B53" w14:paraId="3092AF86" w14:textId="77777777" w:rsidTr="00385866">
        <w:trPr>
          <w:cantSplit/>
          <w:trHeight w:val="180"/>
          <w:jc w:val="center"/>
        </w:trPr>
        <w:tc>
          <w:tcPr>
            <w:tcW w:w="896" w:type="pct"/>
            <w:vMerge/>
            <w:tcBorders>
              <w:top w:val="nil"/>
              <w:left w:val="nil"/>
              <w:bottom w:val="single" w:sz="4" w:space="0" w:color="auto"/>
              <w:right w:val="single" w:sz="4" w:space="0" w:color="auto"/>
            </w:tcBorders>
            <w:vAlign w:val="center"/>
            <w:hideMark/>
          </w:tcPr>
          <w:p w14:paraId="13286D40" w14:textId="77777777" w:rsidR="00A37B53" w:rsidRPr="00A37B53" w:rsidRDefault="00A37B53" w:rsidP="00A37B53">
            <w:pPr>
              <w:spacing w:after="0" w:line="240" w:lineRule="auto"/>
              <w:rPr>
                <w:rFonts w:ascii="Times New Roman" w:eastAsia="Times New Roman" w:hAnsi="Times New Roman"/>
                <w:b/>
                <w:bCs/>
                <w:color w:val="000000"/>
                <w:sz w:val="20"/>
                <w:szCs w:val="20"/>
                <w:lang w:eastAsia="pt-BR"/>
              </w:rPr>
            </w:pPr>
          </w:p>
        </w:tc>
        <w:tc>
          <w:tcPr>
            <w:tcW w:w="869" w:type="pct"/>
            <w:tcBorders>
              <w:top w:val="nil"/>
              <w:left w:val="nil"/>
              <w:bottom w:val="single" w:sz="4" w:space="0" w:color="auto"/>
              <w:right w:val="single" w:sz="4" w:space="0" w:color="auto"/>
            </w:tcBorders>
            <w:shd w:val="clear" w:color="auto" w:fill="auto"/>
            <w:noWrap/>
            <w:vAlign w:val="center"/>
            <w:hideMark/>
          </w:tcPr>
          <w:p w14:paraId="10F3E30E" w14:textId="77777777" w:rsidR="00A37B53" w:rsidRPr="00A37B53" w:rsidRDefault="00A37B53" w:rsidP="00A37B53">
            <w:pPr>
              <w:spacing w:after="0" w:line="240" w:lineRule="auto"/>
              <w:rPr>
                <w:rFonts w:ascii="Times New Roman" w:eastAsia="Times New Roman" w:hAnsi="Times New Roman"/>
                <w:color w:val="000000"/>
                <w:sz w:val="20"/>
                <w:szCs w:val="20"/>
              </w:rPr>
            </w:pPr>
            <w:r>
              <w:rPr>
                <w:rFonts w:ascii="Times New Roman" w:hAnsi="Times New Roman"/>
                <w:color w:val="000000"/>
                <w:sz w:val="20"/>
              </w:rPr>
              <w:t>South</w:t>
            </w:r>
          </w:p>
        </w:tc>
        <w:tc>
          <w:tcPr>
            <w:tcW w:w="647" w:type="pct"/>
            <w:tcBorders>
              <w:top w:val="single" w:sz="4" w:space="0" w:color="auto"/>
              <w:left w:val="single" w:sz="4" w:space="0" w:color="auto"/>
              <w:bottom w:val="single" w:sz="4" w:space="0" w:color="auto"/>
              <w:right w:val="single" w:sz="4" w:space="0" w:color="auto"/>
            </w:tcBorders>
            <w:shd w:val="clear" w:color="000000" w:fill="FAFBFD"/>
            <w:noWrap/>
            <w:vAlign w:val="center"/>
            <w:hideMark/>
          </w:tcPr>
          <w:p w14:paraId="775A4967" w14:textId="77777777" w:rsidR="00A37B53" w:rsidRPr="00A37B53" w:rsidRDefault="00A37B53" w:rsidP="00A37B53">
            <w:pPr>
              <w:spacing w:after="0" w:line="240" w:lineRule="auto"/>
              <w:jc w:val="center"/>
              <w:rPr>
                <w:rFonts w:ascii="Times New Roman" w:eastAsia="Times New Roman" w:hAnsi="Times New Roman"/>
                <w:color w:val="000000"/>
                <w:sz w:val="20"/>
                <w:szCs w:val="20"/>
              </w:rPr>
            </w:pPr>
            <w:r>
              <w:rPr>
                <w:rFonts w:ascii="Times New Roman" w:hAnsi="Times New Roman"/>
                <w:color w:val="000000"/>
                <w:sz w:val="20"/>
              </w:rPr>
              <w:t>0.2</w:t>
            </w:r>
          </w:p>
        </w:tc>
        <w:tc>
          <w:tcPr>
            <w:tcW w:w="647" w:type="pct"/>
            <w:tcBorders>
              <w:top w:val="single" w:sz="4" w:space="0" w:color="auto"/>
              <w:left w:val="single" w:sz="4" w:space="0" w:color="auto"/>
              <w:bottom w:val="single" w:sz="4" w:space="0" w:color="auto"/>
              <w:right w:val="single" w:sz="4" w:space="0" w:color="auto"/>
            </w:tcBorders>
            <w:shd w:val="clear" w:color="000000" w:fill="F8FBFC"/>
            <w:noWrap/>
            <w:vAlign w:val="center"/>
            <w:hideMark/>
          </w:tcPr>
          <w:p w14:paraId="5DBEF2E5" w14:textId="77777777" w:rsidR="00A37B53" w:rsidRPr="00A37B53" w:rsidRDefault="00A37B53" w:rsidP="00A37B53">
            <w:pPr>
              <w:spacing w:after="0" w:line="240" w:lineRule="auto"/>
              <w:jc w:val="center"/>
              <w:rPr>
                <w:rFonts w:ascii="Times New Roman" w:eastAsia="Times New Roman" w:hAnsi="Times New Roman"/>
                <w:color w:val="000000"/>
                <w:sz w:val="20"/>
                <w:szCs w:val="20"/>
              </w:rPr>
            </w:pPr>
            <w:r>
              <w:rPr>
                <w:rFonts w:ascii="Times New Roman" w:hAnsi="Times New Roman"/>
                <w:color w:val="000000"/>
                <w:sz w:val="20"/>
              </w:rPr>
              <w:t>0.3</w:t>
            </w:r>
          </w:p>
        </w:tc>
        <w:tc>
          <w:tcPr>
            <w:tcW w:w="647" w:type="pct"/>
            <w:tcBorders>
              <w:top w:val="single" w:sz="4" w:space="0" w:color="auto"/>
              <w:left w:val="single" w:sz="4" w:space="0" w:color="auto"/>
              <w:bottom w:val="single" w:sz="4" w:space="0" w:color="auto"/>
              <w:right w:val="single" w:sz="4" w:space="0" w:color="auto"/>
            </w:tcBorders>
            <w:shd w:val="clear" w:color="000000" w:fill="F7FAFB"/>
            <w:noWrap/>
            <w:vAlign w:val="center"/>
            <w:hideMark/>
          </w:tcPr>
          <w:p w14:paraId="01792C6A" w14:textId="77777777" w:rsidR="00A37B53" w:rsidRPr="00A37B53" w:rsidRDefault="00A37B53" w:rsidP="00A37B53">
            <w:pPr>
              <w:spacing w:after="0" w:line="240" w:lineRule="auto"/>
              <w:jc w:val="center"/>
              <w:rPr>
                <w:rFonts w:ascii="Times New Roman" w:eastAsia="Times New Roman" w:hAnsi="Times New Roman"/>
                <w:color w:val="000000"/>
                <w:sz w:val="20"/>
                <w:szCs w:val="20"/>
              </w:rPr>
            </w:pPr>
            <w:r>
              <w:rPr>
                <w:rFonts w:ascii="Times New Roman" w:hAnsi="Times New Roman"/>
                <w:color w:val="000000"/>
                <w:sz w:val="20"/>
              </w:rPr>
              <w:t>0.3</w:t>
            </w:r>
          </w:p>
        </w:tc>
        <w:tc>
          <w:tcPr>
            <w:tcW w:w="647" w:type="pct"/>
            <w:tcBorders>
              <w:top w:val="single" w:sz="4" w:space="0" w:color="auto"/>
              <w:left w:val="single" w:sz="4" w:space="0" w:color="auto"/>
              <w:bottom w:val="single" w:sz="4" w:space="0" w:color="auto"/>
              <w:right w:val="single" w:sz="4" w:space="0" w:color="auto"/>
            </w:tcBorders>
            <w:shd w:val="clear" w:color="000000" w:fill="A3D8B2"/>
            <w:noWrap/>
            <w:vAlign w:val="center"/>
            <w:hideMark/>
          </w:tcPr>
          <w:p w14:paraId="20A97D3B" w14:textId="77777777" w:rsidR="00A37B53" w:rsidRPr="00A37B53" w:rsidRDefault="00A37B53" w:rsidP="00A37B53">
            <w:pPr>
              <w:spacing w:after="0" w:line="240" w:lineRule="auto"/>
              <w:jc w:val="center"/>
              <w:rPr>
                <w:rFonts w:ascii="Times New Roman" w:eastAsia="Times New Roman" w:hAnsi="Times New Roman"/>
                <w:color w:val="000000"/>
                <w:sz w:val="20"/>
                <w:szCs w:val="20"/>
              </w:rPr>
            </w:pPr>
            <w:r>
              <w:rPr>
                <w:rFonts w:ascii="Times New Roman" w:hAnsi="Times New Roman"/>
                <w:color w:val="000000"/>
                <w:sz w:val="20"/>
              </w:rPr>
              <w:t>3.4</w:t>
            </w:r>
          </w:p>
        </w:tc>
        <w:tc>
          <w:tcPr>
            <w:tcW w:w="647" w:type="pct"/>
            <w:tcBorders>
              <w:top w:val="single" w:sz="4" w:space="0" w:color="auto"/>
              <w:left w:val="single" w:sz="4" w:space="0" w:color="auto"/>
              <w:bottom w:val="single" w:sz="4" w:space="0" w:color="auto"/>
              <w:right w:val="nil"/>
            </w:tcBorders>
            <w:shd w:val="clear" w:color="000000" w:fill="FAFBFD"/>
            <w:noWrap/>
            <w:vAlign w:val="center"/>
            <w:hideMark/>
          </w:tcPr>
          <w:p w14:paraId="2136060C" w14:textId="77777777" w:rsidR="00A37B53" w:rsidRPr="00A37B53" w:rsidRDefault="00A37B53" w:rsidP="00A37B53">
            <w:pPr>
              <w:spacing w:after="0" w:line="240" w:lineRule="auto"/>
              <w:jc w:val="center"/>
              <w:rPr>
                <w:rFonts w:ascii="Times New Roman" w:eastAsia="Times New Roman" w:hAnsi="Times New Roman"/>
                <w:color w:val="000000"/>
                <w:sz w:val="20"/>
                <w:szCs w:val="20"/>
              </w:rPr>
            </w:pPr>
            <w:r>
              <w:rPr>
                <w:rFonts w:ascii="Times New Roman" w:hAnsi="Times New Roman"/>
                <w:color w:val="000000"/>
                <w:sz w:val="20"/>
              </w:rPr>
              <w:t>0.2</w:t>
            </w:r>
          </w:p>
        </w:tc>
      </w:tr>
      <w:tr w:rsidR="00A37B53" w:rsidRPr="00A37B53" w14:paraId="3DD74639" w14:textId="77777777" w:rsidTr="00385866">
        <w:trPr>
          <w:cantSplit/>
          <w:trHeight w:val="180"/>
          <w:jc w:val="center"/>
        </w:trPr>
        <w:tc>
          <w:tcPr>
            <w:tcW w:w="896" w:type="pct"/>
            <w:vMerge/>
            <w:tcBorders>
              <w:top w:val="nil"/>
              <w:left w:val="nil"/>
              <w:bottom w:val="single" w:sz="4" w:space="0" w:color="auto"/>
              <w:right w:val="single" w:sz="4" w:space="0" w:color="auto"/>
            </w:tcBorders>
            <w:vAlign w:val="center"/>
            <w:hideMark/>
          </w:tcPr>
          <w:p w14:paraId="06646982" w14:textId="77777777" w:rsidR="00A37B53" w:rsidRPr="00A37B53" w:rsidRDefault="00A37B53" w:rsidP="00A37B53">
            <w:pPr>
              <w:spacing w:after="0" w:line="240" w:lineRule="auto"/>
              <w:rPr>
                <w:rFonts w:ascii="Times New Roman" w:eastAsia="Times New Roman" w:hAnsi="Times New Roman"/>
                <w:b/>
                <w:bCs/>
                <w:color w:val="000000"/>
                <w:sz w:val="20"/>
                <w:szCs w:val="20"/>
                <w:lang w:eastAsia="pt-BR"/>
              </w:rPr>
            </w:pPr>
          </w:p>
        </w:tc>
        <w:tc>
          <w:tcPr>
            <w:tcW w:w="869" w:type="pct"/>
            <w:tcBorders>
              <w:top w:val="nil"/>
              <w:left w:val="nil"/>
              <w:bottom w:val="single" w:sz="4" w:space="0" w:color="auto"/>
              <w:right w:val="single" w:sz="4" w:space="0" w:color="auto"/>
            </w:tcBorders>
            <w:shd w:val="clear" w:color="auto" w:fill="auto"/>
            <w:noWrap/>
            <w:vAlign w:val="center"/>
            <w:hideMark/>
          </w:tcPr>
          <w:p w14:paraId="55305670" w14:textId="0085791D" w:rsidR="00A37B53" w:rsidRPr="00A37B53" w:rsidRDefault="00C03EC0" w:rsidP="00A37B53">
            <w:pPr>
              <w:spacing w:after="0" w:line="240" w:lineRule="auto"/>
              <w:rPr>
                <w:rFonts w:ascii="Times New Roman" w:eastAsia="Times New Roman" w:hAnsi="Times New Roman"/>
                <w:color w:val="000000"/>
                <w:sz w:val="20"/>
                <w:szCs w:val="20"/>
              </w:rPr>
            </w:pPr>
            <w:r>
              <w:rPr>
                <w:rFonts w:ascii="Times New Roman" w:hAnsi="Times New Roman"/>
                <w:color w:val="000000"/>
                <w:sz w:val="20"/>
              </w:rPr>
              <w:t>Midwest</w:t>
            </w:r>
          </w:p>
        </w:tc>
        <w:tc>
          <w:tcPr>
            <w:tcW w:w="647" w:type="pct"/>
            <w:tcBorders>
              <w:top w:val="single" w:sz="4" w:space="0" w:color="auto"/>
              <w:left w:val="single" w:sz="4" w:space="0" w:color="auto"/>
              <w:bottom w:val="single" w:sz="4" w:space="0" w:color="auto"/>
              <w:right w:val="single" w:sz="4" w:space="0" w:color="auto"/>
            </w:tcBorders>
            <w:shd w:val="clear" w:color="000000" w:fill="F9FBFC"/>
            <w:noWrap/>
            <w:vAlign w:val="center"/>
            <w:hideMark/>
          </w:tcPr>
          <w:p w14:paraId="3A70DD58" w14:textId="77777777" w:rsidR="00A37B53" w:rsidRPr="00A37B53" w:rsidRDefault="00A37B53" w:rsidP="00A37B53">
            <w:pPr>
              <w:spacing w:after="0" w:line="240" w:lineRule="auto"/>
              <w:jc w:val="center"/>
              <w:rPr>
                <w:rFonts w:ascii="Times New Roman" w:eastAsia="Times New Roman" w:hAnsi="Times New Roman"/>
                <w:color w:val="000000"/>
                <w:sz w:val="20"/>
                <w:szCs w:val="20"/>
              </w:rPr>
            </w:pPr>
            <w:r>
              <w:rPr>
                <w:rFonts w:ascii="Times New Roman" w:hAnsi="Times New Roman"/>
                <w:color w:val="000000"/>
                <w:sz w:val="20"/>
              </w:rPr>
              <w:t>0.3</w:t>
            </w:r>
          </w:p>
        </w:tc>
        <w:tc>
          <w:tcPr>
            <w:tcW w:w="647" w:type="pct"/>
            <w:tcBorders>
              <w:top w:val="single" w:sz="4" w:space="0" w:color="auto"/>
              <w:left w:val="single" w:sz="4" w:space="0" w:color="auto"/>
              <w:bottom w:val="single" w:sz="4" w:space="0" w:color="auto"/>
              <w:right w:val="single" w:sz="4" w:space="0" w:color="auto"/>
            </w:tcBorders>
            <w:shd w:val="clear" w:color="000000" w:fill="F7FAFB"/>
            <w:noWrap/>
            <w:vAlign w:val="center"/>
            <w:hideMark/>
          </w:tcPr>
          <w:p w14:paraId="16E84240" w14:textId="77777777" w:rsidR="00A37B53" w:rsidRPr="00A37B53" w:rsidRDefault="00A37B53" w:rsidP="00A37B53">
            <w:pPr>
              <w:spacing w:after="0" w:line="240" w:lineRule="auto"/>
              <w:jc w:val="center"/>
              <w:rPr>
                <w:rFonts w:ascii="Times New Roman" w:eastAsia="Times New Roman" w:hAnsi="Times New Roman"/>
                <w:color w:val="000000"/>
                <w:sz w:val="20"/>
                <w:szCs w:val="20"/>
              </w:rPr>
            </w:pPr>
            <w:r>
              <w:rPr>
                <w:rFonts w:ascii="Times New Roman" w:hAnsi="Times New Roman"/>
                <w:color w:val="000000"/>
                <w:sz w:val="20"/>
              </w:rPr>
              <w:t>0.3</w:t>
            </w:r>
          </w:p>
        </w:tc>
        <w:tc>
          <w:tcPr>
            <w:tcW w:w="647" w:type="pct"/>
            <w:tcBorders>
              <w:top w:val="single" w:sz="4" w:space="0" w:color="auto"/>
              <w:left w:val="single" w:sz="4" w:space="0" w:color="auto"/>
              <w:bottom w:val="single" w:sz="4" w:space="0" w:color="auto"/>
              <w:right w:val="single" w:sz="4" w:space="0" w:color="auto"/>
            </w:tcBorders>
            <w:shd w:val="clear" w:color="000000" w:fill="F9FBFD"/>
            <w:noWrap/>
            <w:vAlign w:val="center"/>
            <w:hideMark/>
          </w:tcPr>
          <w:p w14:paraId="67425D73" w14:textId="77777777" w:rsidR="00A37B53" w:rsidRPr="00A37B53" w:rsidRDefault="00A37B53" w:rsidP="00A37B53">
            <w:pPr>
              <w:spacing w:after="0" w:line="240" w:lineRule="auto"/>
              <w:jc w:val="center"/>
              <w:rPr>
                <w:rFonts w:ascii="Times New Roman" w:eastAsia="Times New Roman" w:hAnsi="Times New Roman"/>
                <w:color w:val="000000"/>
                <w:sz w:val="20"/>
                <w:szCs w:val="20"/>
              </w:rPr>
            </w:pPr>
            <w:r>
              <w:rPr>
                <w:rFonts w:ascii="Times New Roman" w:hAnsi="Times New Roman"/>
                <w:color w:val="000000"/>
                <w:sz w:val="20"/>
              </w:rPr>
              <w:t>0.2</w:t>
            </w:r>
          </w:p>
        </w:tc>
        <w:tc>
          <w:tcPr>
            <w:tcW w:w="647" w:type="pct"/>
            <w:tcBorders>
              <w:top w:val="single" w:sz="4" w:space="0" w:color="auto"/>
              <w:left w:val="single" w:sz="4" w:space="0" w:color="auto"/>
              <w:bottom w:val="single" w:sz="4" w:space="0" w:color="auto"/>
              <w:right w:val="single" w:sz="4" w:space="0" w:color="auto"/>
            </w:tcBorders>
            <w:shd w:val="clear" w:color="000000" w:fill="F7FAFB"/>
            <w:noWrap/>
            <w:vAlign w:val="center"/>
            <w:hideMark/>
          </w:tcPr>
          <w:p w14:paraId="7807FA90" w14:textId="77777777" w:rsidR="00A37B53" w:rsidRPr="00A37B53" w:rsidRDefault="00A37B53" w:rsidP="00A37B53">
            <w:pPr>
              <w:spacing w:after="0" w:line="240" w:lineRule="auto"/>
              <w:jc w:val="center"/>
              <w:rPr>
                <w:rFonts w:ascii="Times New Roman" w:eastAsia="Times New Roman" w:hAnsi="Times New Roman"/>
                <w:color w:val="000000"/>
                <w:sz w:val="20"/>
                <w:szCs w:val="20"/>
              </w:rPr>
            </w:pPr>
            <w:r>
              <w:rPr>
                <w:rFonts w:ascii="Times New Roman" w:hAnsi="Times New Roman"/>
                <w:color w:val="000000"/>
                <w:sz w:val="20"/>
              </w:rPr>
              <w:t>0.3</w:t>
            </w:r>
          </w:p>
        </w:tc>
        <w:tc>
          <w:tcPr>
            <w:tcW w:w="647" w:type="pct"/>
            <w:tcBorders>
              <w:top w:val="single" w:sz="4" w:space="0" w:color="auto"/>
              <w:left w:val="single" w:sz="4" w:space="0" w:color="auto"/>
              <w:bottom w:val="single" w:sz="4" w:space="0" w:color="auto"/>
              <w:right w:val="nil"/>
            </w:tcBorders>
            <w:shd w:val="clear" w:color="000000" w:fill="9FD7AF"/>
            <w:noWrap/>
            <w:vAlign w:val="center"/>
            <w:hideMark/>
          </w:tcPr>
          <w:p w14:paraId="652454D4" w14:textId="77777777" w:rsidR="00A37B53" w:rsidRPr="00A37B53" w:rsidRDefault="00A37B53" w:rsidP="00A37B53">
            <w:pPr>
              <w:spacing w:after="0" w:line="240" w:lineRule="auto"/>
              <w:jc w:val="center"/>
              <w:rPr>
                <w:rFonts w:ascii="Times New Roman" w:eastAsia="Times New Roman" w:hAnsi="Times New Roman"/>
                <w:color w:val="000000"/>
                <w:sz w:val="20"/>
                <w:szCs w:val="20"/>
              </w:rPr>
            </w:pPr>
            <w:r>
              <w:rPr>
                <w:rFonts w:ascii="Times New Roman" w:hAnsi="Times New Roman"/>
                <w:color w:val="000000"/>
                <w:sz w:val="20"/>
              </w:rPr>
              <w:t>3.5</w:t>
            </w:r>
          </w:p>
        </w:tc>
      </w:tr>
      <w:tr w:rsidR="00A37B53" w:rsidRPr="00A37B53" w14:paraId="662B28BA" w14:textId="77777777" w:rsidTr="00385866">
        <w:trPr>
          <w:cantSplit/>
          <w:trHeight w:val="180"/>
          <w:jc w:val="center"/>
        </w:trPr>
        <w:tc>
          <w:tcPr>
            <w:tcW w:w="896" w:type="pct"/>
            <w:vMerge/>
            <w:tcBorders>
              <w:top w:val="nil"/>
              <w:left w:val="nil"/>
              <w:bottom w:val="single" w:sz="4" w:space="0" w:color="auto"/>
              <w:right w:val="single" w:sz="4" w:space="0" w:color="auto"/>
            </w:tcBorders>
            <w:vAlign w:val="center"/>
            <w:hideMark/>
          </w:tcPr>
          <w:p w14:paraId="06ADC031" w14:textId="77777777" w:rsidR="00A37B53" w:rsidRPr="00A37B53" w:rsidRDefault="00A37B53" w:rsidP="00A37B53">
            <w:pPr>
              <w:spacing w:after="0" w:line="240" w:lineRule="auto"/>
              <w:rPr>
                <w:rFonts w:ascii="Times New Roman" w:eastAsia="Times New Roman" w:hAnsi="Times New Roman"/>
                <w:b/>
                <w:bCs/>
                <w:color w:val="000000"/>
                <w:sz w:val="20"/>
                <w:szCs w:val="20"/>
                <w:lang w:eastAsia="pt-BR"/>
              </w:rPr>
            </w:pPr>
          </w:p>
        </w:tc>
        <w:tc>
          <w:tcPr>
            <w:tcW w:w="869" w:type="pct"/>
            <w:tcBorders>
              <w:top w:val="nil"/>
              <w:left w:val="nil"/>
              <w:bottom w:val="single" w:sz="4" w:space="0" w:color="auto"/>
              <w:right w:val="single" w:sz="4" w:space="0" w:color="auto"/>
            </w:tcBorders>
            <w:shd w:val="clear" w:color="auto" w:fill="auto"/>
            <w:noWrap/>
            <w:vAlign w:val="center"/>
            <w:hideMark/>
          </w:tcPr>
          <w:p w14:paraId="52B2D637" w14:textId="77777777" w:rsidR="00A37B53" w:rsidRPr="00A37B53" w:rsidRDefault="00A37B53" w:rsidP="00A37B53">
            <w:pPr>
              <w:spacing w:after="0" w:line="240" w:lineRule="auto"/>
              <w:rPr>
                <w:rFonts w:ascii="Times New Roman" w:eastAsia="Times New Roman" w:hAnsi="Times New Roman"/>
                <w:b/>
                <w:bCs/>
                <w:color w:val="000000"/>
                <w:sz w:val="20"/>
                <w:szCs w:val="20"/>
              </w:rPr>
            </w:pPr>
            <w:r>
              <w:rPr>
                <w:rFonts w:ascii="Times New Roman" w:hAnsi="Times New Roman"/>
                <w:b/>
                <w:color w:val="000000"/>
                <w:sz w:val="20"/>
              </w:rPr>
              <w:t>Total</w:t>
            </w:r>
          </w:p>
        </w:tc>
        <w:tc>
          <w:tcPr>
            <w:tcW w:w="647" w:type="pct"/>
            <w:tcBorders>
              <w:top w:val="single" w:sz="4" w:space="0" w:color="auto"/>
              <w:left w:val="single" w:sz="4" w:space="0" w:color="auto"/>
              <w:bottom w:val="single" w:sz="4" w:space="0" w:color="auto"/>
              <w:right w:val="single" w:sz="4" w:space="0" w:color="auto"/>
            </w:tcBorders>
            <w:shd w:val="clear" w:color="000000" w:fill="D4ECDD"/>
            <w:noWrap/>
            <w:vAlign w:val="center"/>
            <w:hideMark/>
          </w:tcPr>
          <w:p w14:paraId="31D0E196" w14:textId="77777777" w:rsidR="00A37B53" w:rsidRPr="00A37B53" w:rsidRDefault="00A37B53" w:rsidP="00A37B53">
            <w:pPr>
              <w:spacing w:after="0" w:line="240" w:lineRule="auto"/>
              <w:jc w:val="center"/>
              <w:rPr>
                <w:rFonts w:ascii="Times New Roman" w:eastAsia="Times New Roman" w:hAnsi="Times New Roman"/>
                <w:b/>
                <w:bCs/>
                <w:color w:val="000000"/>
                <w:sz w:val="20"/>
                <w:szCs w:val="20"/>
              </w:rPr>
            </w:pPr>
            <w:r>
              <w:rPr>
                <w:rFonts w:ascii="Times New Roman" w:hAnsi="Times New Roman"/>
                <w:b/>
                <w:color w:val="000000"/>
                <w:sz w:val="20"/>
              </w:rPr>
              <w:t>6.3</w:t>
            </w:r>
          </w:p>
        </w:tc>
        <w:tc>
          <w:tcPr>
            <w:tcW w:w="647" w:type="pct"/>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356AF6A8" w14:textId="77777777" w:rsidR="00A37B53" w:rsidRPr="00A37B53" w:rsidRDefault="00A37B53" w:rsidP="00A37B53">
            <w:pPr>
              <w:spacing w:after="0" w:line="240" w:lineRule="auto"/>
              <w:jc w:val="center"/>
              <w:rPr>
                <w:rFonts w:ascii="Times New Roman" w:eastAsia="Times New Roman" w:hAnsi="Times New Roman"/>
                <w:b/>
                <w:bCs/>
                <w:color w:val="000000"/>
                <w:sz w:val="20"/>
                <w:szCs w:val="20"/>
              </w:rPr>
            </w:pPr>
            <w:r>
              <w:rPr>
                <w:rFonts w:ascii="Times New Roman" w:hAnsi="Times New Roman"/>
                <w:b/>
                <w:color w:val="000000"/>
                <w:sz w:val="20"/>
              </w:rPr>
              <w:t>6.7</w:t>
            </w:r>
          </w:p>
        </w:tc>
        <w:tc>
          <w:tcPr>
            <w:tcW w:w="647" w:type="pct"/>
            <w:tcBorders>
              <w:top w:val="single" w:sz="4" w:space="0" w:color="auto"/>
              <w:left w:val="single" w:sz="4" w:space="0" w:color="auto"/>
              <w:bottom w:val="single" w:sz="4" w:space="0" w:color="auto"/>
              <w:right w:val="single" w:sz="4" w:space="0" w:color="auto"/>
            </w:tcBorders>
            <w:shd w:val="clear" w:color="000000" w:fill="70C486"/>
            <w:noWrap/>
            <w:vAlign w:val="center"/>
            <w:hideMark/>
          </w:tcPr>
          <w:p w14:paraId="63856997" w14:textId="77777777" w:rsidR="00A37B53" w:rsidRPr="00A37B53" w:rsidRDefault="00A37B53" w:rsidP="00A37B53">
            <w:pPr>
              <w:spacing w:after="0" w:line="240" w:lineRule="auto"/>
              <w:jc w:val="center"/>
              <w:rPr>
                <w:rFonts w:ascii="Times New Roman" w:eastAsia="Times New Roman" w:hAnsi="Times New Roman"/>
                <w:b/>
                <w:bCs/>
                <w:color w:val="000000"/>
                <w:sz w:val="20"/>
                <w:szCs w:val="20"/>
              </w:rPr>
            </w:pPr>
            <w:r>
              <w:rPr>
                <w:rFonts w:ascii="Times New Roman" w:hAnsi="Times New Roman"/>
                <w:b/>
                <w:color w:val="000000"/>
                <w:sz w:val="20"/>
              </w:rPr>
              <w:t>6.6</w:t>
            </w:r>
          </w:p>
        </w:tc>
        <w:tc>
          <w:tcPr>
            <w:tcW w:w="647" w:type="pct"/>
            <w:tcBorders>
              <w:top w:val="single" w:sz="4" w:space="0" w:color="auto"/>
              <w:left w:val="single" w:sz="4" w:space="0" w:color="auto"/>
              <w:bottom w:val="single" w:sz="4" w:space="0" w:color="auto"/>
              <w:right w:val="single" w:sz="4" w:space="0" w:color="auto"/>
            </w:tcBorders>
            <w:shd w:val="clear" w:color="000000" w:fill="FCFCFF"/>
            <w:noWrap/>
            <w:vAlign w:val="center"/>
            <w:hideMark/>
          </w:tcPr>
          <w:p w14:paraId="1030A88A" w14:textId="77777777" w:rsidR="00A37B53" w:rsidRPr="00A37B53" w:rsidRDefault="00A37B53" w:rsidP="00A37B53">
            <w:pPr>
              <w:spacing w:after="0" w:line="240" w:lineRule="auto"/>
              <w:jc w:val="center"/>
              <w:rPr>
                <w:rFonts w:ascii="Times New Roman" w:eastAsia="Times New Roman" w:hAnsi="Times New Roman"/>
                <w:b/>
                <w:bCs/>
                <w:color w:val="000000"/>
                <w:sz w:val="20"/>
                <w:szCs w:val="20"/>
              </w:rPr>
            </w:pPr>
            <w:r>
              <w:rPr>
                <w:rFonts w:ascii="Times New Roman" w:hAnsi="Times New Roman"/>
                <w:b/>
                <w:color w:val="000000"/>
                <w:sz w:val="20"/>
              </w:rPr>
              <w:t>6.2</w:t>
            </w:r>
          </w:p>
        </w:tc>
        <w:tc>
          <w:tcPr>
            <w:tcW w:w="647" w:type="pct"/>
            <w:tcBorders>
              <w:top w:val="single" w:sz="4" w:space="0" w:color="auto"/>
              <w:left w:val="single" w:sz="4" w:space="0" w:color="auto"/>
              <w:bottom w:val="single" w:sz="4" w:space="0" w:color="auto"/>
              <w:right w:val="nil"/>
            </w:tcBorders>
            <w:shd w:val="clear" w:color="000000" w:fill="F2F8F7"/>
            <w:noWrap/>
            <w:vAlign w:val="center"/>
            <w:hideMark/>
          </w:tcPr>
          <w:p w14:paraId="35BE7214" w14:textId="77777777" w:rsidR="00A37B53" w:rsidRPr="00A37B53" w:rsidRDefault="00A37B53" w:rsidP="00A37B53">
            <w:pPr>
              <w:spacing w:after="0" w:line="240" w:lineRule="auto"/>
              <w:jc w:val="center"/>
              <w:rPr>
                <w:rFonts w:ascii="Times New Roman" w:eastAsia="Times New Roman" w:hAnsi="Times New Roman"/>
                <w:b/>
                <w:bCs/>
                <w:color w:val="000000"/>
                <w:sz w:val="20"/>
                <w:szCs w:val="20"/>
              </w:rPr>
            </w:pPr>
            <w:r>
              <w:rPr>
                <w:rFonts w:ascii="Times New Roman" w:hAnsi="Times New Roman"/>
                <w:b/>
                <w:color w:val="000000"/>
                <w:sz w:val="20"/>
              </w:rPr>
              <w:t>6.2</w:t>
            </w:r>
          </w:p>
        </w:tc>
      </w:tr>
      <w:tr w:rsidR="00A37B53" w:rsidRPr="00A37B53" w14:paraId="4985C792" w14:textId="77777777" w:rsidTr="00385866">
        <w:trPr>
          <w:cantSplit/>
          <w:trHeight w:val="180"/>
          <w:jc w:val="center"/>
        </w:trPr>
        <w:tc>
          <w:tcPr>
            <w:tcW w:w="896" w:type="pct"/>
            <w:vMerge w:val="restart"/>
            <w:tcBorders>
              <w:top w:val="nil"/>
              <w:left w:val="nil"/>
              <w:bottom w:val="single" w:sz="4" w:space="0" w:color="auto"/>
              <w:right w:val="single" w:sz="4" w:space="0" w:color="auto"/>
            </w:tcBorders>
            <w:shd w:val="clear" w:color="auto" w:fill="auto"/>
            <w:vAlign w:val="center"/>
            <w:hideMark/>
          </w:tcPr>
          <w:p w14:paraId="20C66201" w14:textId="77777777" w:rsidR="00A37B53" w:rsidRPr="00A37B53" w:rsidRDefault="00A37B53" w:rsidP="00A37B53">
            <w:pPr>
              <w:spacing w:after="0" w:line="240" w:lineRule="auto"/>
              <w:rPr>
                <w:rFonts w:ascii="Times New Roman" w:eastAsia="Times New Roman" w:hAnsi="Times New Roman"/>
                <w:b/>
                <w:bCs/>
                <w:color w:val="000000"/>
                <w:sz w:val="20"/>
                <w:szCs w:val="20"/>
              </w:rPr>
            </w:pPr>
            <w:r>
              <w:rPr>
                <w:rFonts w:ascii="Times New Roman" w:hAnsi="Times New Roman"/>
                <w:b/>
                <w:color w:val="000000"/>
                <w:sz w:val="20"/>
              </w:rPr>
              <w:t>Taxes*</w:t>
            </w:r>
          </w:p>
        </w:tc>
        <w:tc>
          <w:tcPr>
            <w:tcW w:w="869" w:type="pct"/>
            <w:tcBorders>
              <w:top w:val="nil"/>
              <w:left w:val="nil"/>
              <w:bottom w:val="single" w:sz="4" w:space="0" w:color="auto"/>
              <w:right w:val="single" w:sz="4" w:space="0" w:color="auto"/>
            </w:tcBorders>
            <w:shd w:val="clear" w:color="auto" w:fill="auto"/>
            <w:noWrap/>
            <w:vAlign w:val="center"/>
            <w:hideMark/>
          </w:tcPr>
          <w:p w14:paraId="75AA928F" w14:textId="77777777" w:rsidR="00A37B53" w:rsidRPr="00A37B53" w:rsidRDefault="00A37B53" w:rsidP="00A37B53">
            <w:pPr>
              <w:spacing w:after="0" w:line="240" w:lineRule="auto"/>
              <w:rPr>
                <w:rFonts w:ascii="Times New Roman" w:eastAsia="Times New Roman" w:hAnsi="Times New Roman"/>
                <w:color w:val="000000"/>
                <w:sz w:val="20"/>
                <w:szCs w:val="20"/>
              </w:rPr>
            </w:pPr>
            <w:r>
              <w:rPr>
                <w:rFonts w:ascii="Times New Roman" w:hAnsi="Times New Roman"/>
                <w:color w:val="000000"/>
                <w:sz w:val="20"/>
              </w:rPr>
              <w:t>North</w:t>
            </w:r>
          </w:p>
        </w:tc>
        <w:tc>
          <w:tcPr>
            <w:tcW w:w="647" w:type="pct"/>
            <w:tcBorders>
              <w:top w:val="single" w:sz="4" w:space="0" w:color="auto"/>
              <w:left w:val="single" w:sz="4" w:space="0" w:color="auto"/>
              <w:bottom w:val="single" w:sz="4" w:space="0" w:color="auto"/>
              <w:right w:val="single" w:sz="4" w:space="0" w:color="auto"/>
            </w:tcBorders>
            <w:shd w:val="clear" w:color="000000" w:fill="9FD6AF"/>
            <w:noWrap/>
            <w:vAlign w:val="center"/>
            <w:hideMark/>
          </w:tcPr>
          <w:p w14:paraId="2BC55BC1" w14:textId="77777777" w:rsidR="00A37B53" w:rsidRPr="00A37B53" w:rsidRDefault="00A37B53" w:rsidP="00A37B53">
            <w:pPr>
              <w:spacing w:after="0" w:line="240" w:lineRule="auto"/>
              <w:jc w:val="center"/>
              <w:rPr>
                <w:rFonts w:ascii="Times New Roman" w:eastAsia="Times New Roman" w:hAnsi="Times New Roman"/>
                <w:color w:val="000000"/>
                <w:sz w:val="20"/>
                <w:szCs w:val="20"/>
              </w:rPr>
            </w:pPr>
            <w:r>
              <w:rPr>
                <w:rFonts w:ascii="Times New Roman" w:hAnsi="Times New Roman"/>
                <w:color w:val="000000"/>
                <w:sz w:val="20"/>
              </w:rPr>
              <w:t>2.4</w:t>
            </w:r>
          </w:p>
        </w:tc>
        <w:tc>
          <w:tcPr>
            <w:tcW w:w="647" w:type="pct"/>
            <w:tcBorders>
              <w:top w:val="single" w:sz="4" w:space="0" w:color="auto"/>
              <w:left w:val="single" w:sz="4" w:space="0" w:color="auto"/>
              <w:bottom w:val="single" w:sz="4" w:space="0" w:color="auto"/>
              <w:right w:val="single" w:sz="4" w:space="0" w:color="auto"/>
            </w:tcBorders>
            <w:shd w:val="clear" w:color="000000" w:fill="F8FBFC"/>
            <w:noWrap/>
            <w:vAlign w:val="center"/>
            <w:hideMark/>
          </w:tcPr>
          <w:p w14:paraId="4D5DD2DB" w14:textId="77777777" w:rsidR="00A37B53" w:rsidRPr="00A37B53" w:rsidRDefault="00A37B53" w:rsidP="00A37B53">
            <w:pPr>
              <w:spacing w:after="0" w:line="240" w:lineRule="auto"/>
              <w:jc w:val="center"/>
              <w:rPr>
                <w:rFonts w:ascii="Times New Roman" w:eastAsia="Times New Roman" w:hAnsi="Times New Roman"/>
                <w:color w:val="000000"/>
                <w:sz w:val="20"/>
                <w:szCs w:val="20"/>
              </w:rPr>
            </w:pPr>
            <w:r>
              <w:rPr>
                <w:rFonts w:ascii="Times New Roman" w:hAnsi="Times New Roman"/>
                <w:color w:val="000000"/>
                <w:sz w:val="20"/>
              </w:rPr>
              <w:t>0.2</w:t>
            </w:r>
          </w:p>
        </w:tc>
        <w:tc>
          <w:tcPr>
            <w:tcW w:w="647" w:type="pct"/>
            <w:tcBorders>
              <w:top w:val="single" w:sz="4" w:space="0" w:color="auto"/>
              <w:left w:val="single" w:sz="4" w:space="0" w:color="auto"/>
              <w:bottom w:val="single" w:sz="4" w:space="0" w:color="auto"/>
              <w:right w:val="single" w:sz="4" w:space="0" w:color="auto"/>
            </w:tcBorders>
            <w:shd w:val="clear" w:color="000000" w:fill="F9FBFD"/>
            <w:noWrap/>
            <w:vAlign w:val="center"/>
            <w:hideMark/>
          </w:tcPr>
          <w:p w14:paraId="236EE9F0" w14:textId="77777777" w:rsidR="00A37B53" w:rsidRPr="00A37B53" w:rsidRDefault="00A37B53" w:rsidP="00A37B53">
            <w:pPr>
              <w:spacing w:after="0" w:line="240" w:lineRule="auto"/>
              <w:jc w:val="center"/>
              <w:rPr>
                <w:rFonts w:ascii="Times New Roman" w:eastAsia="Times New Roman" w:hAnsi="Times New Roman"/>
                <w:color w:val="000000"/>
                <w:sz w:val="20"/>
                <w:szCs w:val="20"/>
              </w:rPr>
            </w:pPr>
            <w:r>
              <w:rPr>
                <w:rFonts w:ascii="Times New Roman" w:hAnsi="Times New Roman"/>
                <w:color w:val="000000"/>
                <w:sz w:val="20"/>
              </w:rPr>
              <w:t>0.2</w:t>
            </w:r>
          </w:p>
        </w:tc>
        <w:tc>
          <w:tcPr>
            <w:tcW w:w="647" w:type="pct"/>
            <w:tcBorders>
              <w:top w:val="single" w:sz="4" w:space="0" w:color="auto"/>
              <w:left w:val="single" w:sz="4" w:space="0" w:color="auto"/>
              <w:bottom w:val="single" w:sz="4" w:space="0" w:color="auto"/>
              <w:right w:val="single" w:sz="4" w:space="0" w:color="auto"/>
            </w:tcBorders>
            <w:shd w:val="clear" w:color="000000" w:fill="FBFCFE"/>
            <w:noWrap/>
            <w:vAlign w:val="center"/>
            <w:hideMark/>
          </w:tcPr>
          <w:p w14:paraId="71114F83" w14:textId="77777777" w:rsidR="00A37B53" w:rsidRPr="00A37B53" w:rsidRDefault="00A37B53" w:rsidP="00A37B53">
            <w:pPr>
              <w:spacing w:after="0" w:line="240" w:lineRule="auto"/>
              <w:jc w:val="center"/>
              <w:rPr>
                <w:rFonts w:ascii="Times New Roman" w:eastAsia="Times New Roman" w:hAnsi="Times New Roman"/>
                <w:color w:val="000000"/>
                <w:sz w:val="20"/>
                <w:szCs w:val="20"/>
              </w:rPr>
            </w:pPr>
            <w:r>
              <w:rPr>
                <w:rFonts w:ascii="Times New Roman" w:hAnsi="Times New Roman"/>
                <w:color w:val="000000"/>
                <w:sz w:val="20"/>
              </w:rPr>
              <w:t>0.1</w:t>
            </w:r>
          </w:p>
        </w:tc>
        <w:tc>
          <w:tcPr>
            <w:tcW w:w="647" w:type="pct"/>
            <w:tcBorders>
              <w:top w:val="single" w:sz="4" w:space="0" w:color="auto"/>
              <w:left w:val="single" w:sz="4" w:space="0" w:color="auto"/>
              <w:bottom w:val="single" w:sz="4" w:space="0" w:color="auto"/>
              <w:right w:val="nil"/>
            </w:tcBorders>
            <w:shd w:val="clear" w:color="000000" w:fill="FAFBFD"/>
            <w:noWrap/>
            <w:vAlign w:val="center"/>
            <w:hideMark/>
          </w:tcPr>
          <w:p w14:paraId="40243EB0" w14:textId="77777777" w:rsidR="00A37B53" w:rsidRPr="00A37B53" w:rsidRDefault="00A37B53" w:rsidP="00A37B53">
            <w:pPr>
              <w:spacing w:after="0" w:line="240" w:lineRule="auto"/>
              <w:jc w:val="center"/>
              <w:rPr>
                <w:rFonts w:ascii="Times New Roman" w:eastAsia="Times New Roman" w:hAnsi="Times New Roman"/>
                <w:color w:val="000000"/>
                <w:sz w:val="20"/>
                <w:szCs w:val="20"/>
              </w:rPr>
            </w:pPr>
            <w:r>
              <w:rPr>
                <w:rFonts w:ascii="Times New Roman" w:hAnsi="Times New Roman"/>
                <w:color w:val="000000"/>
                <w:sz w:val="20"/>
              </w:rPr>
              <w:t>0.1</w:t>
            </w:r>
          </w:p>
        </w:tc>
      </w:tr>
      <w:tr w:rsidR="00A37B53" w:rsidRPr="00A37B53" w14:paraId="3336B37F" w14:textId="77777777" w:rsidTr="00385866">
        <w:trPr>
          <w:cantSplit/>
          <w:trHeight w:val="180"/>
          <w:jc w:val="center"/>
        </w:trPr>
        <w:tc>
          <w:tcPr>
            <w:tcW w:w="896" w:type="pct"/>
            <w:vMerge/>
            <w:tcBorders>
              <w:top w:val="nil"/>
              <w:left w:val="nil"/>
              <w:bottom w:val="single" w:sz="4" w:space="0" w:color="auto"/>
              <w:right w:val="single" w:sz="4" w:space="0" w:color="auto"/>
            </w:tcBorders>
            <w:vAlign w:val="center"/>
            <w:hideMark/>
          </w:tcPr>
          <w:p w14:paraId="2C45F984" w14:textId="77777777" w:rsidR="00A37B53" w:rsidRPr="00A37B53" w:rsidRDefault="00A37B53" w:rsidP="00A37B53">
            <w:pPr>
              <w:spacing w:after="0" w:line="240" w:lineRule="auto"/>
              <w:rPr>
                <w:rFonts w:ascii="Times New Roman" w:eastAsia="Times New Roman" w:hAnsi="Times New Roman"/>
                <w:b/>
                <w:bCs/>
                <w:color w:val="000000"/>
                <w:sz w:val="20"/>
                <w:szCs w:val="20"/>
                <w:lang w:eastAsia="pt-BR"/>
              </w:rPr>
            </w:pPr>
          </w:p>
        </w:tc>
        <w:tc>
          <w:tcPr>
            <w:tcW w:w="869" w:type="pct"/>
            <w:tcBorders>
              <w:top w:val="nil"/>
              <w:left w:val="nil"/>
              <w:bottom w:val="single" w:sz="4" w:space="0" w:color="auto"/>
              <w:right w:val="single" w:sz="4" w:space="0" w:color="auto"/>
            </w:tcBorders>
            <w:shd w:val="clear" w:color="auto" w:fill="auto"/>
            <w:noWrap/>
            <w:vAlign w:val="center"/>
            <w:hideMark/>
          </w:tcPr>
          <w:p w14:paraId="13820FC0" w14:textId="77777777" w:rsidR="00A37B53" w:rsidRPr="00A37B53" w:rsidRDefault="00A37B53" w:rsidP="00A37B53">
            <w:pPr>
              <w:spacing w:after="0" w:line="240" w:lineRule="auto"/>
              <w:rPr>
                <w:rFonts w:ascii="Times New Roman" w:eastAsia="Times New Roman" w:hAnsi="Times New Roman"/>
                <w:color w:val="000000"/>
                <w:sz w:val="20"/>
                <w:szCs w:val="20"/>
              </w:rPr>
            </w:pPr>
            <w:r>
              <w:rPr>
                <w:rFonts w:ascii="Times New Roman" w:hAnsi="Times New Roman"/>
                <w:color w:val="000000"/>
                <w:sz w:val="20"/>
              </w:rPr>
              <w:t>Northeast</w:t>
            </w:r>
          </w:p>
        </w:tc>
        <w:tc>
          <w:tcPr>
            <w:tcW w:w="647" w:type="pct"/>
            <w:tcBorders>
              <w:top w:val="single" w:sz="4" w:space="0" w:color="auto"/>
              <w:left w:val="single" w:sz="4" w:space="0" w:color="auto"/>
              <w:bottom w:val="single" w:sz="4" w:space="0" w:color="auto"/>
              <w:right w:val="single" w:sz="4" w:space="0" w:color="auto"/>
            </w:tcBorders>
            <w:shd w:val="clear" w:color="000000" w:fill="FBFCFE"/>
            <w:noWrap/>
            <w:vAlign w:val="center"/>
            <w:hideMark/>
          </w:tcPr>
          <w:p w14:paraId="7FA30792" w14:textId="77777777" w:rsidR="00A37B53" w:rsidRPr="00A37B53" w:rsidRDefault="00A37B53" w:rsidP="00A37B53">
            <w:pPr>
              <w:spacing w:after="0" w:line="240" w:lineRule="auto"/>
              <w:jc w:val="center"/>
              <w:rPr>
                <w:rFonts w:ascii="Times New Roman" w:eastAsia="Times New Roman" w:hAnsi="Times New Roman"/>
                <w:color w:val="000000"/>
                <w:sz w:val="20"/>
                <w:szCs w:val="20"/>
              </w:rPr>
            </w:pPr>
            <w:r>
              <w:rPr>
                <w:rFonts w:ascii="Times New Roman" w:hAnsi="Times New Roman"/>
                <w:color w:val="000000"/>
                <w:sz w:val="20"/>
              </w:rPr>
              <w:t>0.1</w:t>
            </w:r>
          </w:p>
        </w:tc>
        <w:tc>
          <w:tcPr>
            <w:tcW w:w="647" w:type="pct"/>
            <w:tcBorders>
              <w:top w:val="single" w:sz="4" w:space="0" w:color="auto"/>
              <w:left w:val="single" w:sz="4" w:space="0" w:color="auto"/>
              <w:bottom w:val="single" w:sz="4" w:space="0" w:color="auto"/>
              <w:right w:val="single" w:sz="4" w:space="0" w:color="auto"/>
            </w:tcBorders>
            <w:shd w:val="clear" w:color="000000" w:fill="77C78D"/>
            <w:noWrap/>
            <w:vAlign w:val="center"/>
            <w:hideMark/>
          </w:tcPr>
          <w:p w14:paraId="2C666F8A" w14:textId="77777777" w:rsidR="00A37B53" w:rsidRPr="00A37B53" w:rsidRDefault="00A37B53" w:rsidP="00A37B53">
            <w:pPr>
              <w:spacing w:after="0" w:line="240" w:lineRule="auto"/>
              <w:jc w:val="center"/>
              <w:rPr>
                <w:rFonts w:ascii="Times New Roman" w:eastAsia="Times New Roman" w:hAnsi="Times New Roman"/>
                <w:color w:val="000000"/>
                <w:sz w:val="20"/>
                <w:szCs w:val="20"/>
              </w:rPr>
            </w:pPr>
            <w:r>
              <w:rPr>
                <w:rFonts w:ascii="Times New Roman" w:hAnsi="Times New Roman"/>
                <w:color w:val="000000"/>
                <w:sz w:val="20"/>
              </w:rPr>
              <w:t>3.4</w:t>
            </w:r>
          </w:p>
        </w:tc>
        <w:tc>
          <w:tcPr>
            <w:tcW w:w="647" w:type="pct"/>
            <w:tcBorders>
              <w:top w:val="single" w:sz="4" w:space="0" w:color="auto"/>
              <w:left w:val="single" w:sz="4" w:space="0" w:color="auto"/>
              <w:bottom w:val="single" w:sz="4" w:space="0" w:color="auto"/>
              <w:right w:val="single" w:sz="4" w:space="0" w:color="auto"/>
            </w:tcBorders>
            <w:shd w:val="clear" w:color="000000" w:fill="FAFBFD"/>
            <w:noWrap/>
            <w:vAlign w:val="center"/>
            <w:hideMark/>
          </w:tcPr>
          <w:p w14:paraId="70D1D294" w14:textId="77777777" w:rsidR="00A37B53" w:rsidRPr="00A37B53" w:rsidRDefault="00A37B53" w:rsidP="00A37B53">
            <w:pPr>
              <w:spacing w:after="0" w:line="240" w:lineRule="auto"/>
              <w:jc w:val="center"/>
              <w:rPr>
                <w:rFonts w:ascii="Times New Roman" w:eastAsia="Times New Roman" w:hAnsi="Times New Roman"/>
                <w:color w:val="000000"/>
                <w:sz w:val="20"/>
                <w:szCs w:val="20"/>
              </w:rPr>
            </w:pPr>
            <w:r>
              <w:rPr>
                <w:rFonts w:ascii="Times New Roman" w:hAnsi="Times New Roman"/>
                <w:color w:val="000000"/>
                <w:sz w:val="20"/>
              </w:rPr>
              <w:t>0.1</w:t>
            </w:r>
          </w:p>
        </w:tc>
        <w:tc>
          <w:tcPr>
            <w:tcW w:w="647" w:type="pct"/>
            <w:tcBorders>
              <w:top w:val="single" w:sz="4" w:space="0" w:color="auto"/>
              <w:left w:val="single" w:sz="4" w:space="0" w:color="auto"/>
              <w:bottom w:val="single" w:sz="4" w:space="0" w:color="auto"/>
              <w:right w:val="single" w:sz="4" w:space="0" w:color="auto"/>
            </w:tcBorders>
            <w:shd w:val="clear" w:color="000000" w:fill="FAFBFD"/>
            <w:noWrap/>
            <w:vAlign w:val="center"/>
            <w:hideMark/>
          </w:tcPr>
          <w:p w14:paraId="3C88629D" w14:textId="77777777" w:rsidR="00A37B53" w:rsidRPr="00A37B53" w:rsidRDefault="00A37B53" w:rsidP="00A37B53">
            <w:pPr>
              <w:spacing w:after="0" w:line="240" w:lineRule="auto"/>
              <w:jc w:val="center"/>
              <w:rPr>
                <w:rFonts w:ascii="Times New Roman" w:eastAsia="Times New Roman" w:hAnsi="Times New Roman"/>
                <w:color w:val="000000"/>
                <w:sz w:val="20"/>
                <w:szCs w:val="20"/>
              </w:rPr>
            </w:pPr>
            <w:r>
              <w:rPr>
                <w:rFonts w:ascii="Times New Roman" w:hAnsi="Times New Roman"/>
                <w:color w:val="000000"/>
                <w:sz w:val="20"/>
              </w:rPr>
              <w:t>0.1</w:t>
            </w:r>
          </w:p>
        </w:tc>
        <w:tc>
          <w:tcPr>
            <w:tcW w:w="647" w:type="pct"/>
            <w:tcBorders>
              <w:top w:val="single" w:sz="4" w:space="0" w:color="auto"/>
              <w:left w:val="single" w:sz="4" w:space="0" w:color="auto"/>
              <w:bottom w:val="single" w:sz="4" w:space="0" w:color="auto"/>
              <w:right w:val="nil"/>
            </w:tcBorders>
            <w:shd w:val="clear" w:color="000000" w:fill="FAFCFE"/>
            <w:noWrap/>
            <w:vAlign w:val="center"/>
            <w:hideMark/>
          </w:tcPr>
          <w:p w14:paraId="573BFBC6" w14:textId="77777777" w:rsidR="00A37B53" w:rsidRPr="00A37B53" w:rsidRDefault="00A37B53" w:rsidP="00A37B53">
            <w:pPr>
              <w:spacing w:after="0" w:line="240" w:lineRule="auto"/>
              <w:jc w:val="center"/>
              <w:rPr>
                <w:rFonts w:ascii="Times New Roman" w:eastAsia="Times New Roman" w:hAnsi="Times New Roman"/>
                <w:color w:val="000000"/>
                <w:sz w:val="20"/>
                <w:szCs w:val="20"/>
              </w:rPr>
            </w:pPr>
            <w:r>
              <w:rPr>
                <w:rFonts w:ascii="Times New Roman" w:hAnsi="Times New Roman"/>
                <w:color w:val="000000"/>
                <w:sz w:val="20"/>
              </w:rPr>
              <w:t>0.1</w:t>
            </w:r>
          </w:p>
        </w:tc>
      </w:tr>
      <w:tr w:rsidR="00A37B53" w:rsidRPr="00A37B53" w14:paraId="4F90D3A5" w14:textId="77777777" w:rsidTr="00385866">
        <w:trPr>
          <w:cantSplit/>
          <w:trHeight w:val="180"/>
          <w:jc w:val="center"/>
        </w:trPr>
        <w:tc>
          <w:tcPr>
            <w:tcW w:w="896" w:type="pct"/>
            <w:vMerge/>
            <w:tcBorders>
              <w:top w:val="nil"/>
              <w:left w:val="nil"/>
              <w:bottom w:val="single" w:sz="4" w:space="0" w:color="auto"/>
              <w:right w:val="single" w:sz="4" w:space="0" w:color="auto"/>
            </w:tcBorders>
            <w:vAlign w:val="center"/>
            <w:hideMark/>
          </w:tcPr>
          <w:p w14:paraId="5490DD70" w14:textId="77777777" w:rsidR="00A37B53" w:rsidRPr="00A37B53" w:rsidRDefault="00A37B53" w:rsidP="00A37B53">
            <w:pPr>
              <w:spacing w:after="0" w:line="240" w:lineRule="auto"/>
              <w:rPr>
                <w:rFonts w:ascii="Times New Roman" w:eastAsia="Times New Roman" w:hAnsi="Times New Roman"/>
                <w:b/>
                <w:bCs/>
                <w:color w:val="000000"/>
                <w:sz w:val="20"/>
                <w:szCs w:val="20"/>
                <w:lang w:eastAsia="pt-BR"/>
              </w:rPr>
            </w:pPr>
          </w:p>
        </w:tc>
        <w:tc>
          <w:tcPr>
            <w:tcW w:w="869" w:type="pct"/>
            <w:tcBorders>
              <w:top w:val="nil"/>
              <w:left w:val="nil"/>
              <w:bottom w:val="single" w:sz="4" w:space="0" w:color="auto"/>
              <w:right w:val="single" w:sz="4" w:space="0" w:color="auto"/>
            </w:tcBorders>
            <w:shd w:val="clear" w:color="auto" w:fill="auto"/>
            <w:noWrap/>
            <w:vAlign w:val="center"/>
            <w:hideMark/>
          </w:tcPr>
          <w:p w14:paraId="548BE468" w14:textId="77777777" w:rsidR="00A37B53" w:rsidRPr="00A37B53" w:rsidRDefault="00A37B53" w:rsidP="00A37B53">
            <w:pPr>
              <w:spacing w:after="0" w:line="240" w:lineRule="auto"/>
              <w:rPr>
                <w:rFonts w:ascii="Times New Roman" w:eastAsia="Times New Roman" w:hAnsi="Times New Roman"/>
                <w:color w:val="000000"/>
                <w:sz w:val="20"/>
                <w:szCs w:val="20"/>
              </w:rPr>
            </w:pPr>
            <w:r>
              <w:rPr>
                <w:rFonts w:ascii="Times New Roman" w:hAnsi="Times New Roman"/>
                <w:color w:val="000000"/>
                <w:sz w:val="20"/>
              </w:rPr>
              <w:t>Southeast</w:t>
            </w:r>
          </w:p>
        </w:tc>
        <w:tc>
          <w:tcPr>
            <w:tcW w:w="647" w:type="pct"/>
            <w:tcBorders>
              <w:top w:val="single" w:sz="4" w:space="0" w:color="auto"/>
              <w:left w:val="single" w:sz="4" w:space="0" w:color="auto"/>
              <w:bottom w:val="single" w:sz="4" w:space="0" w:color="auto"/>
              <w:right w:val="single" w:sz="4" w:space="0" w:color="auto"/>
            </w:tcBorders>
            <w:shd w:val="clear" w:color="000000" w:fill="DFF1E6"/>
            <w:noWrap/>
            <w:vAlign w:val="center"/>
            <w:hideMark/>
          </w:tcPr>
          <w:p w14:paraId="15C65801" w14:textId="77777777" w:rsidR="00A37B53" w:rsidRPr="00A37B53" w:rsidRDefault="00A37B53" w:rsidP="00A37B53">
            <w:pPr>
              <w:spacing w:after="0" w:line="240" w:lineRule="auto"/>
              <w:jc w:val="center"/>
              <w:rPr>
                <w:rFonts w:ascii="Times New Roman" w:eastAsia="Times New Roman" w:hAnsi="Times New Roman"/>
                <w:color w:val="000000"/>
                <w:sz w:val="20"/>
                <w:szCs w:val="20"/>
              </w:rPr>
            </w:pPr>
            <w:r>
              <w:rPr>
                <w:rFonts w:ascii="Times New Roman" w:hAnsi="Times New Roman"/>
                <w:color w:val="000000"/>
                <w:sz w:val="20"/>
              </w:rPr>
              <w:t>0.8</w:t>
            </w:r>
          </w:p>
        </w:tc>
        <w:tc>
          <w:tcPr>
            <w:tcW w:w="647" w:type="pct"/>
            <w:tcBorders>
              <w:top w:val="single" w:sz="4" w:space="0" w:color="auto"/>
              <w:left w:val="single" w:sz="4" w:space="0" w:color="auto"/>
              <w:bottom w:val="single" w:sz="4" w:space="0" w:color="auto"/>
              <w:right w:val="single" w:sz="4" w:space="0" w:color="auto"/>
            </w:tcBorders>
            <w:shd w:val="clear" w:color="000000" w:fill="CFEAD8"/>
            <w:noWrap/>
            <w:vAlign w:val="center"/>
            <w:hideMark/>
          </w:tcPr>
          <w:p w14:paraId="752AD941" w14:textId="77777777" w:rsidR="00A37B53" w:rsidRPr="00A37B53" w:rsidRDefault="00A37B53" w:rsidP="00A37B53">
            <w:pPr>
              <w:spacing w:after="0" w:line="240" w:lineRule="auto"/>
              <w:jc w:val="center"/>
              <w:rPr>
                <w:rFonts w:ascii="Times New Roman" w:eastAsia="Times New Roman" w:hAnsi="Times New Roman"/>
                <w:color w:val="000000"/>
                <w:sz w:val="20"/>
                <w:szCs w:val="20"/>
              </w:rPr>
            </w:pPr>
            <w:r>
              <w:rPr>
                <w:rFonts w:ascii="Times New Roman" w:hAnsi="Times New Roman"/>
                <w:color w:val="000000"/>
                <w:sz w:val="20"/>
              </w:rPr>
              <w:t>1.2</w:t>
            </w:r>
          </w:p>
        </w:tc>
        <w:tc>
          <w:tcPr>
            <w:tcW w:w="647" w:type="pct"/>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07DD89FA" w14:textId="77777777" w:rsidR="00A37B53" w:rsidRPr="00A37B53" w:rsidRDefault="00A37B53" w:rsidP="00A37B53">
            <w:pPr>
              <w:spacing w:after="0" w:line="240" w:lineRule="auto"/>
              <w:jc w:val="center"/>
              <w:rPr>
                <w:rFonts w:ascii="Times New Roman" w:eastAsia="Times New Roman" w:hAnsi="Times New Roman"/>
                <w:color w:val="000000"/>
                <w:sz w:val="20"/>
                <w:szCs w:val="20"/>
              </w:rPr>
            </w:pPr>
            <w:r>
              <w:rPr>
                <w:rFonts w:ascii="Times New Roman" w:hAnsi="Times New Roman"/>
                <w:color w:val="000000"/>
                <w:sz w:val="20"/>
              </w:rPr>
              <w:t>3.9</w:t>
            </w:r>
          </w:p>
        </w:tc>
        <w:tc>
          <w:tcPr>
            <w:tcW w:w="647" w:type="pct"/>
            <w:tcBorders>
              <w:top w:val="single" w:sz="4" w:space="0" w:color="auto"/>
              <w:left w:val="single" w:sz="4" w:space="0" w:color="auto"/>
              <w:bottom w:val="single" w:sz="4" w:space="0" w:color="auto"/>
              <w:right w:val="single" w:sz="4" w:space="0" w:color="auto"/>
            </w:tcBorders>
            <w:shd w:val="clear" w:color="000000" w:fill="D2EBDB"/>
            <w:noWrap/>
            <w:vAlign w:val="center"/>
            <w:hideMark/>
          </w:tcPr>
          <w:p w14:paraId="5902FCEF" w14:textId="77777777" w:rsidR="00A37B53" w:rsidRPr="00A37B53" w:rsidRDefault="00A37B53" w:rsidP="00A37B53">
            <w:pPr>
              <w:spacing w:after="0" w:line="240" w:lineRule="auto"/>
              <w:jc w:val="center"/>
              <w:rPr>
                <w:rFonts w:ascii="Times New Roman" w:eastAsia="Times New Roman" w:hAnsi="Times New Roman"/>
                <w:color w:val="000000"/>
                <w:sz w:val="20"/>
                <w:szCs w:val="20"/>
              </w:rPr>
            </w:pPr>
            <w:r>
              <w:rPr>
                <w:rFonts w:ascii="Times New Roman" w:hAnsi="Times New Roman"/>
                <w:color w:val="000000"/>
                <w:sz w:val="20"/>
              </w:rPr>
              <w:t>1.1</w:t>
            </w:r>
          </w:p>
        </w:tc>
        <w:tc>
          <w:tcPr>
            <w:tcW w:w="647" w:type="pct"/>
            <w:tcBorders>
              <w:top w:val="single" w:sz="4" w:space="0" w:color="auto"/>
              <w:left w:val="single" w:sz="4" w:space="0" w:color="auto"/>
              <w:bottom w:val="single" w:sz="4" w:space="0" w:color="auto"/>
              <w:right w:val="nil"/>
            </w:tcBorders>
            <w:shd w:val="clear" w:color="000000" w:fill="D1EBDA"/>
            <w:noWrap/>
            <w:vAlign w:val="center"/>
            <w:hideMark/>
          </w:tcPr>
          <w:p w14:paraId="62AE30BE" w14:textId="77777777" w:rsidR="00A37B53" w:rsidRPr="00A37B53" w:rsidRDefault="00A37B53" w:rsidP="00A37B53">
            <w:pPr>
              <w:spacing w:after="0" w:line="240" w:lineRule="auto"/>
              <w:jc w:val="center"/>
              <w:rPr>
                <w:rFonts w:ascii="Times New Roman" w:eastAsia="Times New Roman" w:hAnsi="Times New Roman"/>
                <w:color w:val="000000"/>
                <w:sz w:val="20"/>
                <w:szCs w:val="20"/>
              </w:rPr>
            </w:pPr>
            <w:r>
              <w:rPr>
                <w:rFonts w:ascii="Times New Roman" w:hAnsi="Times New Roman"/>
                <w:color w:val="000000"/>
                <w:sz w:val="20"/>
              </w:rPr>
              <w:t>1.1</w:t>
            </w:r>
          </w:p>
        </w:tc>
      </w:tr>
      <w:tr w:rsidR="00A37B53" w:rsidRPr="00A37B53" w14:paraId="62802268" w14:textId="77777777" w:rsidTr="00385866">
        <w:trPr>
          <w:cantSplit/>
          <w:trHeight w:val="180"/>
          <w:jc w:val="center"/>
        </w:trPr>
        <w:tc>
          <w:tcPr>
            <w:tcW w:w="896" w:type="pct"/>
            <w:vMerge/>
            <w:tcBorders>
              <w:top w:val="nil"/>
              <w:left w:val="nil"/>
              <w:bottom w:val="single" w:sz="4" w:space="0" w:color="auto"/>
              <w:right w:val="single" w:sz="4" w:space="0" w:color="auto"/>
            </w:tcBorders>
            <w:vAlign w:val="center"/>
            <w:hideMark/>
          </w:tcPr>
          <w:p w14:paraId="02144CFE" w14:textId="77777777" w:rsidR="00A37B53" w:rsidRPr="00A37B53" w:rsidRDefault="00A37B53" w:rsidP="00A37B53">
            <w:pPr>
              <w:spacing w:after="0" w:line="240" w:lineRule="auto"/>
              <w:rPr>
                <w:rFonts w:ascii="Times New Roman" w:eastAsia="Times New Roman" w:hAnsi="Times New Roman"/>
                <w:b/>
                <w:bCs/>
                <w:color w:val="000000"/>
                <w:sz w:val="20"/>
                <w:szCs w:val="20"/>
                <w:lang w:eastAsia="pt-BR"/>
              </w:rPr>
            </w:pPr>
          </w:p>
        </w:tc>
        <w:tc>
          <w:tcPr>
            <w:tcW w:w="869" w:type="pct"/>
            <w:tcBorders>
              <w:top w:val="nil"/>
              <w:left w:val="nil"/>
              <w:bottom w:val="single" w:sz="4" w:space="0" w:color="auto"/>
              <w:right w:val="single" w:sz="4" w:space="0" w:color="auto"/>
            </w:tcBorders>
            <w:shd w:val="clear" w:color="auto" w:fill="auto"/>
            <w:noWrap/>
            <w:vAlign w:val="center"/>
            <w:hideMark/>
          </w:tcPr>
          <w:p w14:paraId="5FDA5CE6" w14:textId="77777777" w:rsidR="00A37B53" w:rsidRPr="00A37B53" w:rsidRDefault="00A37B53" w:rsidP="00A37B53">
            <w:pPr>
              <w:spacing w:after="0" w:line="240" w:lineRule="auto"/>
              <w:rPr>
                <w:rFonts w:ascii="Times New Roman" w:eastAsia="Times New Roman" w:hAnsi="Times New Roman"/>
                <w:color w:val="000000"/>
                <w:sz w:val="20"/>
                <w:szCs w:val="20"/>
              </w:rPr>
            </w:pPr>
            <w:r>
              <w:rPr>
                <w:rFonts w:ascii="Times New Roman" w:hAnsi="Times New Roman"/>
                <w:color w:val="000000"/>
                <w:sz w:val="20"/>
              </w:rPr>
              <w:t>South</w:t>
            </w:r>
          </w:p>
        </w:tc>
        <w:tc>
          <w:tcPr>
            <w:tcW w:w="647" w:type="pct"/>
            <w:tcBorders>
              <w:top w:val="single" w:sz="4" w:space="0" w:color="auto"/>
              <w:left w:val="single" w:sz="4" w:space="0" w:color="auto"/>
              <w:bottom w:val="single" w:sz="4" w:space="0" w:color="auto"/>
              <w:right w:val="single" w:sz="4" w:space="0" w:color="auto"/>
            </w:tcBorders>
            <w:shd w:val="clear" w:color="000000" w:fill="FCFCFF"/>
            <w:noWrap/>
            <w:vAlign w:val="center"/>
            <w:hideMark/>
          </w:tcPr>
          <w:p w14:paraId="572ADF56" w14:textId="77777777" w:rsidR="00A37B53" w:rsidRPr="00A37B53" w:rsidRDefault="00A37B53" w:rsidP="00A37B53">
            <w:pPr>
              <w:spacing w:after="0" w:line="240" w:lineRule="auto"/>
              <w:jc w:val="center"/>
              <w:rPr>
                <w:rFonts w:ascii="Times New Roman" w:eastAsia="Times New Roman" w:hAnsi="Times New Roman"/>
                <w:color w:val="000000"/>
                <w:sz w:val="20"/>
                <w:szCs w:val="20"/>
              </w:rPr>
            </w:pPr>
            <w:r>
              <w:rPr>
                <w:rFonts w:ascii="Times New Roman" w:hAnsi="Times New Roman"/>
                <w:color w:val="000000"/>
                <w:sz w:val="20"/>
              </w:rPr>
              <w:t>0.1</w:t>
            </w:r>
          </w:p>
        </w:tc>
        <w:tc>
          <w:tcPr>
            <w:tcW w:w="647" w:type="pct"/>
            <w:tcBorders>
              <w:top w:val="single" w:sz="4" w:space="0" w:color="auto"/>
              <w:left w:val="single" w:sz="4" w:space="0" w:color="auto"/>
              <w:bottom w:val="single" w:sz="4" w:space="0" w:color="auto"/>
              <w:right w:val="single" w:sz="4" w:space="0" w:color="auto"/>
            </w:tcBorders>
            <w:shd w:val="clear" w:color="000000" w:fill="FBFCFE"/>
            <w:noWrap/>
            <w:vAlign w:val="center"/>
            <w:hideMark/>
          </w:tcPr>
          <w:p w14:paraId="22C6D9C9" w14:textId="77777777" w:rsidR="00A37B53" w:rsidRPr="00A37B53" w:rsidRDefault="00A37B53" w:rsidP="00A37B53">
            <w:pPr>
              <w:spacing w:after="0" w:line="240" w:lineRule="auto"/>
              <w:jc w:val="center"/>
              <w:rPr>
                <w:rFonts w:ascii="Times New Roman" w:eastAsia="Times New Roman" w:hAnsi="Times New Roman"/>
                <w:color w:val="000000"/>
                <w:sz w:val="20"/>
                <w:szCs w:val="20"/>
              </w:rPr>
            </w:pPr>
            <w:r>
              <w:rPr>
                <w:rFonts w:ascii="Times New Roman" w:hAnsi="Times New Roman"/>
                <w:color w:val="000000"/>
                <w:sz w:val="20"/>
              </w:rPr>
              <w:t>0.1</w:t>
            </w:r>
          </w:p>
        </w:tc>
        <w:tc>
          <w:tcPr>
            <w:tcW w:w="647" w:type="pct"/>
            <w:tcBorders>
              <w:top w:val="single" w:sz="4" w:space="0" w:color="auto"/>
              <w:left w:val="single" w:sz="4" w:space="0" w:color="auto"/>
              <w:bottom w:val="single" w:sz="4" w:space="0" w:color="auto"/>
              <w:right w:val="single" w:sz="4" w:space="0" w:color="auto"/>
            </w:tcBorders>
            <w:shd w:val="clear" w:color="000000" w:fill="F9FBFD"/>
            <w:noWrap/>
            <w:vAlign w:val="center"/>
            <w:hideMark/>
          </w:tcPr>
          <w:p w14:paraId="419DAAF1" w14:textId="77777777" w:rsidR="00A37B53" w:rsidRPr="00A37B53" w:rsidRDefault="00A37B53" w:rsidP="00A37B53">
            <w:pPr>
              <w:spacing w:after="0" w:line="240" w:lineRule="auto"/>
              <w:jc w:val="center"/>
              <w:rPr>
                <w:rFonts w:ascii="Times New Roman" w:eastAsia="Times New Roman" w:hAnsi="Times New Roman"/>
                <w:color w:val="000000"/>
                <w:sz w:val="20"/>
                <w:szCs w:val="20"/>
              </w:rPr>
            </w:pPr>
            <w:r>
              <w:rPr>
                <w:rFonts w:ascii="Times New Roman" w:hAnsi="Times New Roman"/>
                <w:color w:val="000000"/>
                <w:sz w:val="20"/>
              </w:rPr>
              <w:t>0.1</w:t>
            </w:r>
          </w:p>
        </w:tc>
        <w:tc>
          <w:tcPr>
            <w:tcW w:w="647" w:type="pct"/>
            <w:tcBorders>
              <w:top w:val="single" w:sz="4" w:space="0" w:color="auto"/>
              <w:left w:val="single" w:sz="4" w:space="0" w:color="auto"/>
              <w:bottom w:val="single" w:sz="4" w:space="0" w:color="auto"/>
              <w:right w:val="single" w:sz="4" w:space="0" w:color="auto"/>
            </w:tcBorders>
            <w:shd w:val="clear" w:color="000000" w:fill="AADBB8"/>
            <w:noWrap/>
            <w:vAlign w:val="center"/>
            <w:hideMark/>
          </w:tcPr>
          <w:p w14:paraId="58B3BEDC" w14:textId="77777777" w:rsidR="00A37B53" w:rsidRPr="00A37B53" w:rsidRDefault="00A37B53" w:rsidP="00A37B53">
            <w:pPr>
              <w:spacing w:after="0" w:line="240" w:lineRule="auto"/>
              <w:jc w:val="center"/>
              <w:rPr>
                <w:rFonts w:ascii="Times New Roman" w:eastAsia="Times New Roman" w:hAnsi="Times New Roman"/>
                <w:color w:val="000000"/>
                <w:sz w:val="20"/>
                <w:szCs w:val="20"/>
              </w:rPr>
            </w:pPr>
            <w:r>
              <w:rPr>
                <w:rFonts w:ascii="Times New Roman" w:hAnsi="Times New Roman"/>
                <w:color w:val="000000"/>
                <w:sz w:val="20"/>
              </w:rPr>
              <w:t>2.1</w:t>
            </w:r>
          </w:p>
        </w:tc>
        <w:tc>
          <w:tcPr>
            <w:tcW w:w="647" w:type="pct"/>
            <w:tcBorders>
              <w:top w:val="single" w:sz="4" w:space="0" w:color="auto"/>
              <w:left w:val="single" w:sz="4" w:space="0" w:color="auto"/>
              <w:bottom w:val="single" w:sz="4" w:space="0" w:color="auto"/>
              <w:right w:val="nil"/>
            </w:tcBorders>
            <w:shd w:val="clear" w:color="000000" w:fill="FCFCFF"/>
            <w:noWrap/>
            <w:vAlign w:val="center"/>
            <w:hideMark/>
          </w:tcPr>
          <w:p w14:paraId="02ADD990" w14:textId="77777777" w:rsidR="00A37B53" w:rsidRPr="00A37B53" w:rsidRDefault="00A37B53" w:rsidP="00A37B53">
            <w:pPr>
              <w:spacing w:after="0" w:line="240" w:lineRule="auto"/>
              <w:jc w:val="center"/>
              <w:rPr>
                <w:rFonts w:ascii="Times New Roman" w:eastAsia="Times New Roman" w:hAnsi="Times New Roman"/>
                <w:color w:val="000000"/>
                <w:sz w:val="20"/>
                <w:szCs w:val="20"/>
              </w:rPr>
            </w:pPr>
            <w:r>
              <w:rPr>
                <w:rFonts w:ascii="Times New Roman" w:hAnsi="Times New Roman"/>
                <w:color w:val="000000"/>
                <w:sz w:val="20"/>
              </w:rPr>
              <w:t>0.1</w:t>
            </w:r>
          </w:p>
        </w:tc>
      </w:tr>
      <w:tr w:rsidR="00A37B53" w:rsidRPr="00A37B53" w14:paraId="3B7CC075" w14:textId="77777777" w:rsidTr="00385866">
        <w:trPr>
          <w:cantSplit/>
          <w:trHeight w:val="180"/>
          <w:jc w:val="center"/>
        </w:trPr>
        <w:tc>
          <w:tcPr>
            <w:tcW w:w="896" w:type="pct"/>
            <w:vMerge/>
            <w:tcBorders>
              <w:top w:val="nil"/>
              <w:left w:val="nil"/>
              <w:bottom w:val="single" w:sz="4" w:space="0" w:color="auto"/>
              <w:right w:val="single" w:sz="4" w:space="0" w:color="auto"/>
            </w:tcBorders>
            <w:vAlign w:val="center"/>
            <w:hideMark/>
          </w:tcPr>
          <w:p w14:paraId="68B4D95B" w14:textId="77777777" w:rsidR="00A37B53" w:rsidRPr="00A37B53" w:rsidRDefault="00A37B53" w:rsidP="00A37B53">
            <w:pPr>
              <w:spacing w:after="0" w:line="240" w:lineRule="auto"/>
              <w:rPr>
                <w:rFonts w:ascii="Times New Roman" w:eastAsia="Times New Roman" w:hAnsi="Times New Roman"/>
                <w:b/>
                <w:bCs/>
                <w:color w:val="000000"/>
                <w:sz w:val="20"/>
                <w:szCs w:val="20"/>
                <w:lang w:eastAsia="pt-BR"/>
              </w:rPr>
            </w:pPr>
          </w:p>
        </w:tc>
        <w:tc>
          <w:tcPr>
            <w:tcW w:w="869" w:type="pct"/>
            <w:tcBorders>
              <w:top w:val="nil"/>
              <w:left w:val="nil"/>
              <w:bottom w:val="single" w:sz="4" w:space="0" w:color="auto"/>
              <w:right w:val="single" w:sz="4" w:space="0" w:color="auto"/>
            </w:tcBorders>
            <w:shd w:val="clear" w:color="auto" w:fill="auto"/>
            <w:noWrap/>
            <w:vAlign w:val="center"/>
            <w:hideMark/>
          </w:tcPr>
          <w:p w14:paraId="7D036646" w14:textId="301C794D" w:rsidR="00A37B53" w:rsidRPr="00A37B53" w:rsidRDefault="00C03EC0" w:rsidP="00A37B53">
            <w:pPr>
              <w:spacing w:after="0" w:line="240" w:lineRule="auto"/>
              <w:rPr>
                <w:rFonts w:ascii="Times New Roman" w:eastAsia="Times New Roman" w:hAnsi="Times New Roman"/>
                <w:color w:val="000000"/>
                <w:sz w:val="20"/>
                <w:szCs w:val="20"/>
              </w:rPr>
            </w:pPr>
            <w:r>
              <w:rPr>
                <w:rFonts w:ascii="Times New Roman" w:hAnsi="Times New Roman"/>
                <w:color w:val="000000"/>
                <w:sz w:val="20"/>
              </w:rPr>
              <w:t>Midwest</w:t>
            </w:r>
          </w:p>
        </w:tc>
        <w:tc>
          <w:tcPr>
            <w:tcW w:w="647" w:type="pct"/>
            <w:tcBorders>
              <w:top w:val="single" w:sz="4" w:space="0" w:color="auto"/>
              <w:left w:val="single" w:sz="4" w:space="0" w:color="auto"/>
              <w:bottom w:val="single" w:sz="4" w:space="0" w:color="auto"/>
              <w:right w:val="single" w:sz="4" w:space="0" w:color="auto"/>
            </w:tcBorders>
            <w:shd w:val="clear" w:color="000000" w:fill="FAFBFD"/>
            <w:noWrap/>
            <w:vAlign w:val="center"/>
            <w:hideMark/>
          </w:tcPr>
          <w:p w14:paraId="0677930E" w14:textId="77777777" w:rsidR="00A37B53" w:rsidRPr="00A37B53" w:rsidRDefault="00A37B53" w:rsidP="00A37B53">
            <w:pPr>
              <w:spacing w:after="0" w:line="240" w:lineRule="auto"/>
              <w:jc w:val="center"/>
              <w:rPr>
                <w:rFonts w:ascii="Times New Roman" w:eastAsia="Times New Roman" w:hAnsi="Times New Roman"/>
                <w:color w:val="000000"/>
                <w:sz w:val="20"/>
                <w:szCs w:val="20"/>
              </w:rPr>
            </w:pPr>
            <w:r>
              <w:rPr>
                <w:rFonts w:ascii="Times New Roman" w:hAnsi="Times New Roman"/>
                <w:color w:val="000000"/>
                <w:sz w:val="20"/>
              </w:rPr>
              <w:t>0.1</w:t>
            </w:r>
          </w:p>
        </w:tc>
        <w:tc>
          <w:tcPr>
            <w:tcW w:w="647" w:type="pct"/>
            <w:tcBorders>
              <w:top w:val="single" w:sz="4" w:space="0" w:color="auto"/>
              <w:left w:val="single" w:sz="4" w:space="0" w:color="auto"/>
              <w:bottom w:val="single" w:sz="4" w:space="0" w:color="auto"/>
              <w:right w:val="single" w:sz="4" w:space="0" w:color="auto"/>
            </w:tcBorders>
            <w:shd w:val="clear" w:color="000000" w:fill="F8FBFC"/>
            <w:noWrap/>
            <w:vAlign w:val="center"/>
            <w:hideMark/>
          </w:tcPr>
          <w:p w14:paraId="34512ADF" w14:textId="77777777" w:rsidR="00A37B53" w:rsidRPr="00A37B53" w:rsidRDefault="00A37B53" w:rsidP="00A37B53">
            <w:pPr>
              <w:spacing w:after="0" w:line="240" w:lineRule="auto"/>
              <w:jc w:val="center"/>
              <w:rPr>
                <w:rFonts w:ascii="Times New Roman" w:eastAsia="Times New Roman" w:hAnsi="Times New Roman"/>
                <w:color w:val="000000"/>
                <w:sz w:val="20"/>
                <w:szCs w:val="20"/>
              </w:rPr>
            </w:pPr>
            <w:r>
              <w:rPr>
                <w:rFonts w:ascii="Times New Roman" w:hAnsi="Times New Roman"/>
                <w:color w:val="000000"/>
                <w:sz w:val="20"/>
              </w:rPr>
              <w:t>0.2</w:t>
            </w:r>
          </w:p>
        </w:tc>
        <w:tc>
          <w:tcPr>
            <w:tcW w:w="647" w:type="pct"/>
            <w:tcBorders>
              <w:top w:val="single" w:sz="4" w:space="0" w:color="auto"/>
              <w:left w:val="single" w:sz="4" w:space="0" w:color="auto"/>
              <w:bottom w:val="single" w:sz="4" w:space="0" w:color="auto"/>
              <w:right w:val="single" w:sz="4" w:space="0" w:color="auto"/>
            </w:tcBorders>
            <w:shd w:val="clear" w:color="000000" w:fill="FAFCFD"/>
            <w:noWrap/>
            <w:vAlign w:val="center"/>
            <w:hideMark/>
          </w:tcPr>
          <w:p w14:paraId="28E67BFD" w14:textId="77777777" w:rsidR="00A37B53" w:rsidRPr="00A37B53" w:rsidRDefault="00A37B53" w:rsidP="00A37B53">
            <w:pPr>
              <w:spacing w:after="0" w:line="240" w:lineRule="auto"/>
              <w:jc w:val="center"/>
              <w:rPr>
                <w:rFonts w:ascii="Times New Roman" w:eastAsia="Times New Roman" w:hAnsi="Times New Roman"/>
                <w:color w:val="000000"/>
                <w:sz w:val="20"/>
                <w:szCs w:val="20"/>
              </w:rPr>
            </w:pPr>
            <w:r>
              <w:rPr>
                <w:rFonts w:ascii="Times New Roman" w:hAnsi="Times New Roman"/>
                <w:color w:val="000000"/>
                <w:sz w:val="20"/>
              </w:rPr>
              <w:t>0.1</w:t>
            </w:r>
          </w:p>
        </w:tc>
        <w:tc>
          <w:tcPr>
            <w:tcW w:w="647" w:type="pct"/>
            <w:tcBorders>
              <w:top w:val="single" w:sz="4" w:space="0" w:color="auto"/>
              <w:left w:val="single" w:sz="4" w:space="0" w:color="auto"/>
              <w:bottom w:val="single" w:sz="4" w:space="0" w:color="auto"/>
              <w:right w:val="single" w:sz="4" w:space="0" w:color="auto"/>
            </w:tcBorders>
            <w:shd w:val="clear" w:color="000000" w:fill="F8FBFB"/>
            <w:noWrap/>
            <w:vAlign w:val="center"/>
            <w:hideMark/>
          </w:tcPr>
          <w:p w14:paraId="2D2F5D9F" w14:textId="77777777" w:rsidR="00A37B53" w:rsidRPr="00A37B53" w:rsidRDefault="00A37B53" w:rsidP="00A37B53">
            <w:pPr>
              <w:spacing w:after="0" w:line="240" w:lineRule="auto"/>
              <w:jc w:val="center"/>
              <w:rPr>
                <w:rFonts w:ascii="Times New Roman" w:eastAsia="Times New Roman" w:hAnsi="Times New Roman"/>
                <w:color w:val="000000"/>
                <w:sz w:val="20"/>
                <w:szCs w:val="20"/>
              </w:rPr>
            </w:pPr>
            <w:r>
              <w:rPr>
                <w:rFonts w:ascii="Times New Roman" w:hAnsi="Times New Roman"/>
                <w:color w:val="000000"/>
                <w:sz w:val="20"/>
              </w:rPr>
              <w:t>0.2</w:t>
            </w:r>
          </w:p>
        </w:tc>
        <w:tc>
          <w:tcPr>
            <w:tcW w:w="647" w:type="pct"/>
            <w:tcBorders>
              <w:top w:val="single" w:sz="4" w:space="0" w:color="auto"/>
              <w:left w:val="single" w:sz="4" w:space="0" w:color="auto"/>
              <w:bottom w:val="single" w:sz="4" w:space="0" w:color="auto"/>
              <w:right w:val="nil"/>
            </w:tcBorders>
            <w:shd w:val="clear" w:color="000000" w:fill="BAE1C6"/>
            <w:noWrap/>
            <w:vAlign w:val="center"/>
            <w:hideMark/>
          </w:tcPr>
          <w:p w14:paraId="0D2765E5" w14:textId="77777777" w:rsidR="00A37B53" w:rsidRPr="00A37B53" w:rsidRDefault="00A37B53" w:rsidP="00A37B53">
            <w:pPr>
              <w:spacing w:after="0" w:line="240" w:lineRule="auto"/>
              <w:jc w:val="center"/>
              <w:rPr>
                <w:rFonts w:ascii="Times New Roman" w:eastAsia="Times New Roman" w:hAnsi="Times New Roman"/>
                <w:color w:val="000000"/>
                <w:sz w:val="20"/>
                <w:szCs w:val="20"/>
              </w:rPr>
            </w:pPr>
            <w:r>
              <w:rPr>
                <w:rFonts w:ascii="Times New Roman" w:hAnsi="Times New Roman"/>
                <w:color w:val="000000"/>
                <w:sz w:val="20"/>
              </w:rPr>
              <w:t>1.7</w:t>
            </w:r>
          </w:p>
        </w:tc>
      </w:tr>
      <w:tr w:rsidR="00A37B53" w:rsidRPr="00A37B53" w14:paraId="22758FDB" w14:textId="77777777" w:rsidTr="00385866">
        <w:trPr>
          <w:cantSplit/>
          <w:trHeight w:val="180"/>
          <w:jc w:val="center"/>
        </w:trPr>
        <w:tc>
          <w:tcPr>
            <w:tcW w:w="896" w:type="pct"/>
            <w:vMerge/>
            <w:tcBorders>
              <w:top w:val="nil"/>
              <w:left w:val="nil"/>
              <w:bottom w:val="single" w:sz="4" w:space="0" w:color="auto"/>
              <w:right w:val="single" w:sz="4" w:space="0" w:color="auto"/>
            </w:tcBorders>
            <w:vAlign w:val="center"/>
            <w:hideMark/>
          </w:tcPr>
          <w:p w14:paraId="3BF0202C" w14:textId="77777777" w:rsidR="00A37B53" w:rsidRPr="00A37B53" w:rsidRDefault="00A37B53" w:rsidP="00A37B53">
            <w:pPr>
              <w:spacing w:after="0" w:line="240" w:lineRule="auto"/>
              <w:rPr>
                <w:rFonts w:ascii="Times New Roman" w:eastAsia="Times New Roman" w:hAnsi="Times New Roman"/>
                <w:b/>
                <w:bCs/>
                <w:color w:val="000000"/>
                <w:sz w:val="20"/>
                <w:szCs w:val="20"/>
                <w:lang w:eastAsia="pt-BR"/>
              </w:rPr>
            </w:pPr>
          </w:p>
        </w:tc>
        <w:tc>
          <w:tcPr>
            <w:tcW w:w="869" w:type="pct"/>
            <w:tcBorders>
              <w:top w:val="nil"/>
              <w:left w:val="nil"/>
              <w:bottom w:val="single" w:sz="4" w:space="0" w:color="auto"/>
              <w:right w:val="single" w:sz="4" w:space="0" w:color="auto"/>
            </w:tcBorders>
            <w:shd w:val="clear" w:color="auto" w:fill="auto"/>
            <w:noWrap/>
            <w:vAlign w:val="center"/>
            <w:hideMark/>
          </w:tcPr>
          <w:p w14:paraId="060EFF65" w14:textId="77777777" w:rsidR="00A37B53" w:rsidRPr="00A37B53" w:rsidRDefault="00A37B53" w:rsidP="00A37B53">
            <w:pPr>
              <w:spacing w:after="0" w:line="240" w:lineRule="auto"/>
              <w:rPr>
                <w:rFonts w:ascii="Times New Roman" w:eastAsia="Times New Roman" w:hAnsi="Times New Roman"/>
                <w:b/>
                <w:bCs/>
                <w:color w:val="000000"/>
                <w:sz w:val="20"/>
                <w:szCs w:val="20"/>
              </w:rPr>
            </w:pPr>
            <w:r>
              <w:rPr>
                <w:rFonts w:ascii="Times New Roman" w:hAnsi="Times New Roman"/>
                <w:b/>
                <w:color w:val="000000"/>
                <w:sz w:val="20"/>
              </w:rPr>
              <w:t>Total</w:t>
            </w:r>
          </w:p>
        </w:tc>
        <w:tc>
          <w:tcPr>
            <w:tcW w:w="647" w:type="pct"/>
            <w:tcBorders>
              <w:top w:val="single" w:sz="4" w:space="0" w:color="auto"/>
              <w:left w:val="single" w:sz="4" w:space="0" w:color="auto"/>
              <w:bottom w:val="single" w:sz="4" w:space="0" w:color="auto"/>
              <w:right w:val="single" w:sz="4" w:space="0" w:color="auto"/>
            </w:tcBorders>
            <w:shd w:val="clear" w:color="000000" w:fill="E5F3EB"/>
            <w:noWrap/>
            <w:vAlign w:val="center"/>
            <w:hideMark/>
          </w:tcPr>
          <w:p w14:paraId="08687D24" w14:textId="77777777" w:rsidR="00A37B53" w:rsidRPr="00A37B53" w:rsidRDefault="00A37B53" w:rsidP="00A37B53">
            <w:pPr>
              <w:spacing w:after="0" w:line="240" w:lineRule="auto"/>
              <w:jc w:val="center"/>
              <w:rPr>
                <w:rFonts w:ascii="Times New Roman" w:eastAsia="Times New Roman" w:hAnsi="Times New Roman"/>
                <w:b/>
                <w:bCs/>
                <w:color w:val="000000"/>
                <w:sz w:val="20"/>
                <w:szCs w:val="20"/>
              </w:rPr>
            </w:pPr>
            <w:r>
              <w:rPr>
                <w:rFonts w:ascii="Times New Roman" w:hAnsi="Times New Roman"/>
                <w:b/>
                <w:color w:val="000000"/>
                <w:sz w:val="20"/>
              </w:rPr>
              <w:t>3.5</w:t>
            </w:r>
          </w:p>
        </w:tc>
        <w:tc>
          <w:tcPr>
            <w:tcW w:w="647" w:type="pct"/>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2B959171" w14:textId="77777777" w:rsidR="00A37B53" w:rsidRPr="00A37B53" w:rsidRDefault="00A37B53" w:rsidP="00A37B53">
            <w:pPr>
              <w:spacing w:after="0" w:line="240" w:lineRule="auto"/>
              <w:jc w:val="center"/>
              <w:rPr>
                <w:rFonts w:ascii="Times New Roman" w:eastAsia="Times New Roman" w:hAnsi="Times New Roman"/>
                <w:b/>
                <w:bCs/>
                <w:color w:val="000000"/>
                <w:sz w:val="20"/>
                <w:szCs w:val="20"/>
              </w:rPr>
            </w:pPr>
            <w:r>
              <w:rPr>
                <w:rFonts w:ascii="Times New Roman" w:hAnsi="Times New Roman"/>
                <w:b/>
                <w:color w:val="000000"/>
                <w:sz w:val="20"/>
              </w:rPr>
              <w:t>5.0</w:t>
            </w:r>
          </w:p>
        </w:tc>
        <w:tc>
          <w:tcPr>
            <w:tcW w:w="647" w:type="pct"/>
            <w:tcBorders>
              <w:top w:val="single" w:sz="4" w:space="0" w:color="auto"/>
              <w:left w:val="single" w:sz="4" w:space="0" w:color="auto"/>
              <w:bottom w:val="single" w:sz="4" w:space="0" w:color="auto"/>
              <w:right w:val="single" w:sz="4" w:space="0" w:color="auto"/>
            </w:tcBorders>
            <w:shd w:val="clear" w:color="000000" w:fill="95D3A6"/>
            <w:noWrap/>
            <w:vAlign w:val="center"/>
            <w:hideMark/>
          </w:tcPr>
          <w:p w14:paraId="23F95AD8" w14:textId="77777777" w:rsidR="00A37B53" w:rsidRPr="00A37B53" w:rsidRDefault="00A37B53" w:rsidP="00A37B53">
            <w:pPr>
              <w:spacing w:after="0" w:line="240" w:lineRule="auto"/>
              <w:jc w:val="center"/>
              <w:rPr>
                <w:rFonts w:ascii="Times New Roman" w:eastAsia="Times New Roman" w:hAnsi="Times New Roman"/>
                <w:b/>
                <w:bCs/>
                <w:color w:val="000000"/>
                <w:sz w:val="20"/>
                <w:szCs w:val="20"/>
              </w:rPr>
            </w:pPr>
            <w:r>
              <w:rPr>
                <w:rFonts w:ascii="Times New Roman" w:hAnsi="Times New Roman"/>
                <w:b/>
                <w:color w:val="000000"/>
                <w:sz w:val="20"/>
              </w:rPr>
              <w:t>4.4</w:t>
            </w:r>
          </w:p>
        </w:tc>
        <w:tc>
          <w:tcPr>
            <w:tcW w:w="647" w:type="pct"/>
            <w:tcBorders>
              <w:top w:val="single" w:sz="4" w:space="0" w:color="auto"/>
              <w:left w:val="single" w:sz="4" w:space="0" w:color="auto"/>
              <w:bottom w:val="single" w:sz="4" w:space="0" w:color="auto"/>
              <w:right w:val="single" w:sz="4" w:space="0" w:color="auto"/>
            </w:tcBorders>
            <w:shd w:val="clear" w:color="000000" w:fill="D6EDDF"/>
            <w:noWrap/>
            <w:vAlign w:val="center"/>
            <w:hideMark/>
          </w:tcPr>
          <w:p w14:paraId="301ECC30" w14:textId="77777777" w:rsidR="00A37B53" w:rsidRPr="00A37B53" w:rsidRDefault="00A37B53" w:rsidP="00A37B53">
            <w:pPr>
              <w:spacing w:after="0" w:line="240" w:lineRule="auto"/>
              <w:jc w:val="center"/>
              <w:rPr>
                <w:rFonts w:ascii="Times New Roman" w:eastAsia="Times New Roman" w:hAnsi="Times New Roman"/>
                <w:b/>
                <w:bCs/>
                <w:color w:val="000000"/>
                <w:sz w:val="20"/>
                <w:szCs w:val="20"/>
              </w:rPr>
            </w:pPr>
            <w:r>
              <w:rPr>
                <w:rFonts w:ascii="Times New Roman" w:hAnsi="Times New Roman"/>
                <w:b/>
                <w:color w:val="000000"/>
                <w:sz w:val="20"/>
              </w:rPr>
              <w:t>3.7</w:t>
            </w:r>
          </w:p>
        </w:tc>
        <w:tc>
          <w:tcPr>
            <w:tcW w:w="647" w:type="pct"/>
            <w:tcBorders>
              <w:top w:val="single" w:sz="4" w:space="0" w:color="auto"/>
              <w:left w:val="single" w:sz="4" w:space="0" w:color="auto"/>
              <w:bottom w:val="single" w:sz="4" w:space="0" w:color="auto"/>
              <w:right w:val="nil"/>
            </w:tcBorders>
            <w:shd w:val="clear" w:color="000000" w:fill="FCFCFF"/>
            <w:noWrap/>
            <w:vAlign w:val="center"/>
            <w:hideMark/>
          </w:tcPr>
          <w:p w14:paraId="288C1E5D" w14:textId="77777777" w:rsidR="00A37B53" w:rsidRPr="00A37B53" w:rsidRDefault="00A37B53" w:rsidP="00A37B53">
            <w:pPr>
              <w:spacing w:after="0" w:line="240" w:lineRule="auto"/>
              <w:jc w:val="center"/>
              <w:rPr>
                <w:rFonts w:ascii="Times New Roman" w:eastAsia="Times New Roman" w:hAnsi="Times New Roman"/>
                <w:b/>
                <w:bCs/>
                <w:color w:val="000000"/>
                <w:sz w:val="20"/>
                <w:szCs w:val="20"/>
              </w:rPr>
            </w:pPr>
            <w:r>
              <w:rPr>
                <w:rFonts w:ascii="Times New Roman" w:hAnsi="Times New Roman"/>
                <w:b/>
                <w:color w:val="000000"/>
                <w:sz w:val="20"/>
              </w:rPr>
              <w:t>3.2</w:t>
            </w:r>
          </w:p>
        </w:tc>
      </w:tr>
      <w:tr w:rsidR="00A37B53" w:rsidRPr="00A37B53" w14:paraId="7B009DC4" w14:textId="77777777" w:rsidTr="00385866">
        <w:trPr>
          <w:cantSplit/>
          <w:trHeight w:val="180"/>
          <w:jc w:val="center"/>
        </w:trPr>
        <w:tc>
          <w:tcPr>
            <w:tcW w:w="896" w:type="pct"/>
            <w:vMerge w:val="restart"/>
            <w:tcBorders>
              <w:top w:val="nil"/>
              <w:left w:val="nil"/>
              <w:bottom w:val="single" w:sz="4" w:space="0" w:color="auto"/>
              <w:right w:val="single" w:sz="4" w:space="0" w:color="auto"/>
            </w:tcBorders>
            <w:shd w:val="clear" w:color="auto" w:fill="auto"/>
            <w:vAlign w:val="center"/>
            <w:hideMark/>
          </w:tcPr>
          <w:p w14:paraId="131C95A2" w14:textId="77777777" w:rsidR="00A37B53" w:rsidRPr="00A37B53" w:rsidRDefault="00A37B53" w:rsidP="00A37B53">
            <w:pPr>
              <w:spacing w:after="0" w:line="240" w:lineRule="auto"/>
              <w:rPr>
                <w:rFonts w:ascii="Times New Roman" w:eastAsia="Times New Roman" w:hAnsi="Times New Roman"/>
                <w:b/>
                <w:bCs/>
                <w:color w:val="000000"/>
                <w:sz w:val="20"/>
                <w:szCs w:val="20"/>
              </w:rPr>
            </w:pPr>
            <w:r>
              <w:rPr>
                <w:rFonts w:ascii="Times New Roman" w:hAnsi="Times New Roman"/>
                <w:b/>
                <w:color w:val="000000"/>
                <w:sz w:val="20"/>
              </w:rPr>
              <w:t>ICMS*</w:t>
            </w:r>
          </w:p>
        </w:tc>
        <w:tc>
          <w:tcPr>
            <w:tcW w:w="869" w:type="pct"/>
            <w:tcBorders>
              <w:top w:val="nil"/>
              <w:left w:val="nil"/>
              <w:bottom w:val="single" w:sz="4" w:space="0" w:color="auto"/>
              <w:right w:val="single" w:sz="4" w:space="0" w:color="auto"/>
            </w:tcBorders>
            <w:shd w:val="clear" w:color="auto" w:fill="auto"/>
            <w:noWrap/>
            <w:vAlign w:val="center"/>
            <w:hideMark/>
          </w:tcPr>
          <w:p w14:paraId="4AA52FDB" w14:textId="77777777" w:rsidR="00A37B53" w:rsidRPr="00A37B53" w:rsidRDefault="00A37B53" w:rsidP="00A37B53">
            <w:pPr>
              <w:spacing w:after="0" w:line="240" w:lineRule="auto"/>
              <w:rPr>
                <w:rFonts w:ascii="Times New Roman" w:eastAsia="Times New Roman" w:hAnsi="Times New Roman"/>
                <w:color w:val="000000"/>
                <w:sz w:val="20"/>
                <w:szCs w:val="20"/>
              </w:rPr>
            </w:pPr>
            <w:r>
              <w:rPr>
                <w:rFonts w:ascii="Times New Roman" w:hAnsi="Times New Roman"/>
                <w:color w:val="000000"/>
                <w:sz w:val="20"/>
              </w:rPr>
              <w:t>North</w:t>
            </w:r>
          </w:p>
        </w:tc>
        <w:tc>
          <w:tcPr>
            <w:tcW w:w="647" w:type="pct"/>
            <w:tcBorders>
              <w:top w:val="single" w:sz="4" w:space="0" w:color="auto"/>
              <w:left w:val="single" w:sz="4" w:space="0" w:color="auto"/>
              <w:bottom w:val="single" w:sz="4" w:space="0" w:color="auto"/>
              <w:right w:val="single" w:sz="4" w:space="0" w:color="auto"/>
            </w:tcBorders>
            <w:shd w:val="clear" w:color="000000" w:fill="8ED0A0"/>
            <w:noWrap/>
            <w:vAlign w:val="center"/>
            <w:hideMark/>
          </w:tcPr>
          <w:p w14:paraId="3E29D3C1" w14:textId="77777777" w:rsidR="00A37B53" w:rsidRPr="00A37B53" w:rsidRDefault="00A37B53" w:rsidP="00A37B53">
            <w:pPr>
              <w:spacing w:after="0" w:line="240" w:lineRule="auto"/>
              <w:jc w:val="center"/>
              <w:rPr>
                <w:rFonts w:ascii="Times New Roman" w:eastAsia="Times New Roman" w:hAnsi="Times New Roman"/>
                <w:color w:val="000000"/>
                <w:sz w:val="20"/>
                <w:szCs w:val="20"/>
              </w:rPr>
            </w:pPr>
            <w:r>
              <w:rPr>
                <w:rFonts w:ascii="Times New Roman" w:hAnsi="Times New Roman"/>
                <w:color w:val="000000"/>
                <w:sz w:val="20"/>
              </w:rPr>
              <w:t>2.0</w:t>
            </w:r>
          </w:p>
        </w:tc>
        <w:tc>
          <w:tcPr>
            <w:tcW w:w="647" w:type="pct"/>
            <w:tcBorders>
              <w:top w:val="single" w:sz="4" w:space="0" w:color="auto"/>
              <w:left w:val="single" w:sz="4" w:space="0" w:color="auto"/>
              <w:bottom w:val="single" w:sz="4" w:space="0" w:color="auto"/>
              <w:right w:val="single" w:sz="4" w:space="0" w:color="auto"/>
            </w:tcBorders>
            <w:shd w:val="clear" w:color="000000" w:fill="F7FAFB"/>
            <w:noWrap/>
            <w:vAlign w:val="center"/>
            <w:hideMark/>
          </w:tcPr>
          <w:p w14:paraId="65AD5BDE" w14:textId="77777777" w:rsidR="00A37B53" w:rsidRPr="00A37B53" w:rsidRDefault="00A37B53" w:rsidP="00A37B53">
            <w:pPr>
              <w:spacing w:after="0" w:line="240" w:lineRule="auto"/>
              <w:jc w:val="center"/>
              <w:rPr>
                <w:rFonts w:ascii="Times New Roman" w:eastAsia="Times New Roman" w:hAnsi="Times New Roman"/>
                <w:color w:val="000000"/>
                <w:sz w:val="20"/>
                <w:szCs w:val="20"/>
              </w:rPr>
            </w:pPr>
            <w:r>
              <w:rPr>
                <w:rFonts w:ascii="Times New Roman" w:hAnsi="Times New Roman"/>
                <w:color w:val="000000"/>
                <w:sz w:val="20"/>
              </w:rPr>
              <w:t>0.1</w:t>
            </w:r>
          </w:p>
        </w:tc>
        <w:tc>
          <w:tcPr>
            <w:tcW w:w="647" w:type="pct"/>
            <w:tcBorders>
              <w:top w:val="single" w:sz="4" w:space="0" w:color="auto"/>
              <w:left w:val="single" w:sz="4" w:space="0" w:color="auto"/>
              <w:bottom w:val="single" w:sz="4" w:space="0" w:color="auto"/>
              <w:right w:val="single" w:sz="4" w:space="0" w:color="auto"/>
            </w:tcBorders>
            <w:shd w:val="clear" w:color="000000" w:fill="F7FAFB"/>
            <w:noWrap/>
            <w:vAlign w:val="center"/>
            <w:hideMark/>
          </w:tcPr>
          <w:p w14:paraId="46AA3BCC" w14:textId="77777777" w:rsidR="00A37B53" w:rsidRPr="00A37B53" w:rsidRDefault="00A37B53" w:rsidP="00A37B53">
            <w:pPr>
              <w:spacing w:after="0" w:line="240" w:lineRule="auto"/>
              <w:jc w:val="center"/>
              <w:rPr>
                <w:rFonts w:ascii="Times New Roman" w:eastAsia="Times New Roman" w:hAnsi="Times New Roman"/>
                <w:color w:val="000000"/>
                <w:sz w:val="20"/>
                <w:szCs w:val="20"/>
              </w:rPr>
            </w:pPr>
            <w:r>
              <w:rPr>
                <w:rFonts w:ascii="Times New Roman" w:hAnsi="Times New Roman"/>
                <w:color w:val="000000"/>
                <w:sz w:val="20"/>
              </w:rPr>
              <w:t>0.1</w:t>
            </w:r>
          </w:p>
        </w:tc>
        <w:tc>
          <w:tcPr>
            <w:tcW w:w="647" w:type="pct"/>
            <w:tcBorders>
              <w:top w:val="single" w:sz="4" w:space="0" w:color="auto"/>
              <w:left w:val="single" w:sz="4" w:space="0" w:color="auto"/>
              <w:bottom w:val="single" w:sz="4" w:space="0" w:color="auto"/>
              <w:right w:val="single" w:sz="4" w:space="0" w:color="auto"/>
            </w:tcBorders>
            <w:shd w:val="clear" w:color="000000" w:fill="F9FBFD"/>
            <w:noWrap/>
            <w:vAlign w:val="center"/>
            <w:hideMark/>
          </w:tcPr>
          <w:p w14:paraId="0BC4ED62" w14:textId="77777777" w:rsidR="00A37B53" w:rsidRPr="00A37B53" w:rsidRDefault="00A37B53" w:rsidP="00A37B53">
            <w:pPr>
              <w:spacing w:after="0" w:line="240" w:lineRule="auto"/>
              <w:jc w:val="center"/>
              <w:rPr>
                <w:rFonts w:ascii="Times New Roman" w:eastAsia="Times New Roman" w:hAnsi="Times New Roman"/>
                <w:color w:val="000000"/>
                <w:sz w:val="20"/>
                <w:szCs w:val="20"/>
              </w:rPr>
            </w:pPr>
            <w:r>
              <w:rPr>
                <w:rFonts w:ascii="Times New Roman" w:hAnsi="Times New Roman"/>
                <w:color w:val="000000"/>
                <w:sz w:val="20"/>
              </w:rPr>
              <w:t>0.1</w:t>
            </w:r>
          </w:p>
        </w:tc>
        <w:tc>
          <w:tcPr>
            <w:tcW w:w="647" w:type="pct"/>
            <w:tcBorders>
              <w:top w:val="single" w:sz="4" w:space="0" w:color="auto"/>
              <w:left w:val="single" w:sz="4" w:space="0" w:color="auto"/>
              <w:bottom w:val="single" w:sz="4" w:space="0" w:color="auto"/>
              <w:right w:val="nil"/>
            </w:tcBorders>
            <w:shd w:val="clear" w:color="000000" w:fill="F8FBFC"/>
            <w:noWrap/>
            <w:vAlign w:val="center"/>
            <w:hideMark/>
          </w:tcPr>
          <w:p w14:paraId="1CD38E23" w14:textId="77777777" w:rsidR="00A37B53" w:rsidRPr="00A37B53" w:rsidRDefault="00A37B53" w:rsidP="00A37B53">
            <w:pPr>
              <w:spacing w:after="0" w:line="240" w:lineRule="auto"/>
              <w:jc w:val="center"/>
              <w:rPr>
                <w:rFonts w:ascii="Times New Roman" w:eastAsia="Times New Roman" w:hAnsi="Times New Roman"/>
                <w:color w:val="000000"/>
                <w:sz w:val="20"/>
                <w:szCs w:val="20"/>
              </w:rPr>
            </w:pPr>
            <w:r>
              <w:rPr>
                <w:rFonts w:ascii="Times New Roman" w:hAnsi="Times New Roman"/>
                <w:color w:val="000000"/>
                <w:sz w:val="20"/>
              </w:rPr>
              <w:t>0.1</w:t>
            </w:r>
          </w:p>
        </w:tc>
      </w:tr>
      <w:tr w:rsidR="00A37B53" w:rsidRPr="00A37B53" w14:paraId="7040780F" w14:textId="77777777" w:rsidTr="00385866">
        <w:trPr>
          <w:cantSplit/>
          <w:trHeight w:val="180"/>
          <w:jc w:val="center"/>
        </w:trPr>
        <w:tc>
          <w:tcPr>
            <w:tcW w:w="896" w:type="pct"/>
            <w:vMerge/>
            <w:tcBorders>
              <w:top w:val="nil"/>
              <w:left w:val="nil"/>
              <w:bottom w:val="single" w:sz="4" w:space="0" w:color="auto"/>
              <w:right w:val="single" w:sz="4" w:space="0" w:color="auto"/>
            </w:tcBorders>
            <w:vAlign w:val="center"/>
            <w:hideMark/>
          </w:tcPr>
          <w:p w14:paraId="61B16C3A" w14:textId="77777777" w:rsidR="00A37B53" w:rsidRPr="00A37B53" w:rsidRDefault="00A37B53" w:rsidP="00A37B53">
            <w:pPr>
              <w:spacing w:after="0" w:line="240" w:lineRule="auto"/>
              <w:rPr>
                <w:rFonts w:ascii="Times New Roman" w:eastAsia="Times New Roman" w:hAnsi="Times New Roman"/>
                <w:b/>
                <w:bCs/>
                <w:color w:val="000000"/>
                <w:sz w:val="20"/>
                <w:szCs w:val="20"/>
                <w:lang w:eastAsia="pt-BR"/>
              </w:rPr>
            </w:pPr>
          </w:p>
        </w:tc>
        <w:tc>
          <w:tcPr>
            <w:tcW w:w="869" w:type="pct"/>
            <w:tcBorders>
              <w:top w:val="nil"/>
              <w:left w:val="nil"/>
              <w:bottom w:val="single" w:sz="4" w:space="0" w:color="auto"/>
              <w:right w:val="single" w:sz="4" w:space="0" w:color="auto"/>
            </w:tcBorders>
            <w:shd w:val="clear" w:color="auto" w:fill="auto"/>
            <w:noWrap/>
            <w:vAlign w:val="center"/>
            <w:hideMark/>
          </w:tcPr>
          <w:p w14:paraId="6E91C901" w14:textId="77777777" w:rsidR="00A37B53" w:rsidRPr="00A37B53" w:rsidRDefault="00A37B53" w:rsidP="00A37B53">
            <w:pPr>
              <w:spacing w:after="0" w:line="240" w:lineRule="auto"/>
              <w:rPr>
                <w:rFonts w:ascii="Times New Roman" w:eastAsia="Times New Roman" w:hAnsi="Times New Roman"/>
                <w:color w:val="000000"/>
                <w:sz w:val="20"/>
                <w:szCs w:val="20"/>
              </w:rPr>
            </w:pPr>
            <w:r>
              <w:rPr>
                <w:rFonts w:ascii="Times New Roman" w:hAnsi="Times New Roman"/>
                <w:color w:val="000000"/>
                <w:sz w:val="20"/>
              </w:rPr>
              <w:t>Northeast</w:t>
            </w:r>
          </w:p>
        </w:tc>
        <w:tc>
          <w:tcPr>
            <w:tcW w:w="647" w:type="pct"/>
            <w:tcBorders>
              <w:top w:val="single" w:sz="4" w:space="0" w:color="auto"/>
              <w:left w:val="single" w:sz="4" w:space="0" w:color="auto"/>
              <w:bottom w:val="single" w:sz="4" w:space="0" w:color="auto"/>
              <w:right w:val="single" w:sz="4" w:space="0" w:color="auto"/>
            </w:tcBorders>
            <w:shd w:val="clear" w:color="000000" w:fill="FBFCFE"/>
            <w:noWrap/>
            <w:vAlign w:val="center"/>
            <w:hideMark/>
          </w:tcPr>
          <w:p w14:paraId="69D926B1" w14:textId="77777777" w:rsidR="00A37B53" w:rsidRPr="00A37B53" w:rsidRDefault="00A37B53" w:rsidP="00A37B53">
            <w:pPr>
              <w:spacing w:after="0" w:line="240" w:lineRule="auto"/>
              <w:jc w:val="center"/>
              <w:rPr>
                <w:rFonts w:ascii="Times New Roman" w:eastAsia="Times New Roman" w:hAnsi="Times New Roman"/>
                <w:color w:val="000000"/>
                <w:sz w:val="20"/>
                <w:szCs w:val="20"/>
              </w:rPr>
            </w:pPr>
            <w:r>
              <w:rPr>
                <w:rFonts w:ascii="Times New Roman" w:hAnsi="Times New Roman"/>
                <w:color w:val="000000"/>
                <w:sz w:val="20"/>
              </w:rPr>
              <w:t>0.1</w:t>
            </w:r>
          </w:p>
        </w:tc>
        <w:tc>
          <w:tcPr>
            <w:tcW w:w="647" w:type="pct"/>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4AAE53E7" w14:textId="77777777" w:rsidR="00A37B53" w:rsidRPr="00A37B53" w:rsidRDefault="00A37B53" w:rsidP="00A37B53">
            <w:pPr>
              <w:spacing w:after="0" w:line="240" w:lineRule="auto"/>
              <w:jc w:val="center"/>
              <w:rPr>
                <w:rFonts w:ascii="Times New Roman" w:eastAsia="Times New Roman" w:hAnsi="Times New Roman"/>
                <w:color w:val="000000"/>
                <w:sz w:val="20"/>
                <w:szCs w:val="20"/>
              </w:rPr>
            </w:pPr>
            <w:r>
              <w:rPr>
                <w:rFonts w:ascii="Times New Roman" w:hAnsi="Times New Roman"/>
                <w:color w:val="000000"/>
                <w:sz w:val="20"/>
              </w:rPr>
              <w:t>2.7</w:t>
            </w:r>
          </w:p>
        </w:tc>
        <w:tc>
          <w:tcPr>
            <w:tcW w:w="647" w:type="pct"/>
            <w:tcBorders>
              <w:top w:val="single" w:sz="4" w:space="0" w:color="auto"/>
              <w:left w:val="single" w:sz="4" w:space="0" w:color="auto"/>
              <w:bottom w:val="single" w:sz="4" w:space="0" w:color="auto"/>
              <w:right w:val="single" w:sz="4" w:space="0" w:color="auto"/>
            </w:tcBorders>
            <w:shd w:val="clear" w:color="000000" w:fill="F9FBFC"/>
            <w:noWrap/>
            <w:vAlign w:val="center"/>
            <w:hideMark/>
          </w:tcPr>
          <w:p w14:paraId="1CD5AB92" w14:textId="77777777" w:rsidR="00A37B53" w:rsidRPr="00A37B53" w:rsidRDefault="00A37B53" w:rsidP="00A37B53">
            <w:pPr>
              <w:spacing w:after="0" w:line="240" w:lineRule="auto"/>
              <w:jc w:val="center"/>
              <w:rPr>
                <w:rFonts w:ascii="Times New Roman" w:eastAsia="Times New Roman" w:hAnsi="Times New Roman"/>
                <w:color w:val="000000"/>
                <w:sz w:val="20"/>
                <w:szCs w:val="20"/>
              </w:rPr>
            </w:pPr>
            <w:r>
              <w:rPr>
                <w:rFonts w:ascii="Times New Roman" w:hAnsi="Times New Roman"/>
                <w:color w:val="000000"/>
                <w:sz w:val="20"/>
              </w:rPr>
              <w:t>0.1</w:t>
            </w:r>
          </w:p>
        </w:tc>
        <w:tc>
          <w:tcPr>
            <w:tcW w:w="647" w:type="pct"/>
            <w:tcBorders>
              <w:top w:val="single" w:sz="4" w:space="0" w:color="auto"/>
              <w:left w:val="single" w:sz="4" w:space="0" w:color="auto"/>
              <w:bottom w:val="single" w:sz="4" w:space="0" w:color="auto"/>
              <w:right w:val="single" w:sz="4" w:space="0" w:color="auto"/>
            </w:tcBorders>
            <w:shd w:val="clear" w:color="000000" w:fill="F9FBFC"/>
            <w:noWrap/>
            <w:vAlign w:val="center"/>
            <w:hideMark/>
          </w:tcPr>
          <w:p w14:paraId="4C23D409" w14:textId="77777777" w:rsidR="00A37B53" w:rsidRPr="00A37B53" w:rsidRDefault="00A37B53" w:rsidP="00A37B53">
            <w:pPr>
              <w:spacing w:after="0" w:line="240" w:lineRule="auto"/>
              <w:jc w:val="center"/>
              <w:rPr>
                <w:rFonts w:ascii="Times New Roman" w:eastAsia="Times New Roman" w:hAnsi="Times New Roman"/>
                <w:color w:val="000000"/>
                <w:sz w:val="20"/>
                <w:szCs w:val="20"/>
              </w:rPr>
            </w:pPr>
            <w:r>
              <w:rPr>
                <w:rFonts w:ascii="Times New Roman" w:hAnsi="Times New Roman"/>
                <w:color w:val="000000"/>
                <w:sz w:val="20"/>
              </w:rPr>
              <w:t>0.1</w:t>
            </w:r>
          </w:p>
        </w:tc>
        <w:tc>
          <w:tcPr>
            <w:tcW w:w="647" w:type="pct"/>
            <w:tcBorders>
              <w:top w:val="single" w:sz="4" w:space="0" w:color="auto"/>
              <w:left w:val="single" w:sz="4" w:space="0" w:color="auto"/>
              <w:bottom w:val="single" w:sz="4" w:space="0" w:color="auto"/>
              <w:right w:val="nil"/>
            </w:tcBorders>
            <w:shd w:val="clear" w:color="000000" w:fill="F9FBFD"/>
            <w:noWrap/>
            <w:vAlign w:val="center"/>
            <w:hideMark/>
          </w:tcPr>
          <w:p w14:paraId="158A2880" w14:textId="77777777" w:rsidR="00A37B53" w:rsidRPr="00A37B53" w:rsidRDefault="00A37B53" w:rsidP="00A37B53">
            <w:pPr>
              <w:spacing w:after="0" w:line="240" w:lineRule="auto"/>
              <w:jc w:val="center"/>
              <w:rPr>
                <w:rFonts w:ascii="Times New Roman" w:eastAsia="Times New Roman" w:hAnsi="Times New Roman"/>
                <w:color w:val="000000"/>
                <w:sz w:val="20"/>
                <w:szCs w:val="20"/>
              </w:rPr>
            </w:pPr>
            <w:r>
              <w:rPr>
                <w:rFonts w:ascii="Times New Roman" w:hAnsi="Times New Roman"/>
                <w:color w:val="000000"/>
                <w:sz w:val="20"/>
              </w:rPr>
              <w:t>0.1</w:t>
            </w:r>
          </w:p>
        </w:tc>
      </w:tr>
      <w:tr w:rsidR="00A37B53" w:rsidRPr="00A37B53" w14:paraId="274BB73B" w14:textId="77777777" w:rsidTr="00385866">
        <w:trPr>
          <w:cantSplit/>
          <w:trHeight w:val="180"/>
          <w:jc w:val="center"/>
        </w:trPr>
        <w:tc>
          <w:tcPr>
            <w:tcW w:w="896" w:type="pct"/>
            <w:vMerge/>
            <w:tcBorders>
              <w:top w:val="nil"/>
              <w:left w:val="nil"/>
              <w:bottom w:val="single" w:sz="4" w:space="0" w:color="auto"/>
              <w:right w:val="single" w:sz="4" w:space="0" w:color="auto"/>
            </w:tcBorders>
            <w:vAlign w:val="center"/>
            <w:hideMark/>
          </w:tcPr>
          <w:p w14:paraId="744AD52D" w14:textId="77777777" w:rsidR="00A37B53" w:rsidRPr="00A37B53" w:rsidRDefault="00A37B53" w:rsidP="00A37B53">
            <w:pPr>
              <w:spacing w:after="0" w:line="240" w:lineRule="auto"/>
              <w:rPr>
                <w:rFonts w:ascii="Times New Roman" w:eastAsia="Times New Roman" w:hAnsi="Times New Roman"/>
                <w:b/>
                <w:bCs/>
                <w:color w:val="000000"/>
                <w:sz w:val="20"/>
                <w:szCs w:val="20"/>
                <w:lang w:eastAsia="pt-BR"/>
              </w:rPr>
            </w:pPr>
          </w:p>
        </w:tc>
        <w:tc>
          <w:tcPr>
            <w:tcW w:w="869" w:type="pct"/>
            <w:tcBorders>
              <w:top w:val="nil"/>
              <w:left w:val="nil"/>
              <w:bottom w:val="single" w:sz="4" w:space="0" w:color="auto"/>
              <w:right w:val="single" w:sz="4" w:space="0" w:color="auto"/>
            </w:tcBorders>
            <w:shd w:val="clear" w:color="auto" w:fill="auto"/>
            <w:noWrap/>
            <w:vAlign w:val="center"/>
            <w:hideMark/>
          </w:tcPr>
          <w:p w14:paraId="75E117C1" w14:textId="77777777" w:rsidR="00A37B53" w:rsidRPr="00A37B53" w:rsidRDefault="00A37B53" w:rsidP="00A37B53">
            <w:pPr>
              <w:spacing w:after="0" w:line="240" w:lineRule="auto"/>
              <w:rPr>
                <w:rFonts w:ascii="Times New Roman" w:eastAsia="Times New Roman" w:hAnsi="Times New Roman"/>
                <w:color w:val="000000"/>
                <w:sz w:val="20"/>
                <w:szCs w:val="20"/>
              </w:rPr>
            </w:pPr>
            <w:r>
              <w:rPr>
                <w:rFonts w:ascii="Times New Roman" w:hAnsi="Times New Roman"/>
                <w:color w:val="000000"/>
                <w:sz w:val="20"/>
              </w:rPr>
              <w:t>Southeast</w:t>
            </w:r>
          </w:p>
        </w:tc>
        <w:tc>
          <w:tcPr>
            <w:tcW w:w="647" w:type="pct"/>
            <w:tcBorders>
              <w:top w:val="single" w:sz="4" w:space="0" w:color="auto"/>
              <w:left w:val="single" w:sz="4" w:space="0" w:color="auto"/>
              <w:bottom w:val="single" w:sz="4" w:space="0" w:color="auto"/>
              <w:right w:val="single" w:sz="4" w:space="0" w:color="auto"/>
            </w:tcBorders>
            <w:shd w:val="clear" w:color="000000" w:fill="ECF6F2"/>
            <w:noWrap/>
            <w:vAlign w:val="center"/>
            <w:hideMark/>
          </w:tcPr>
          <w:p w14:paraId="5759436B" w14:textId="77777777" w:rsidR="00A37B53" w:rsidRPr="00A37B53" w:rsidRDefault="00A37B53" w:rsidP="00A37B53">
            <w:pPr>
              <w:spacing w:after="0" w:line="240" w:lineRule="auto"/>
              <w:jc w:val="center"/>
              <w:rPr>
                <w:rFonts w:ascii="Times New Roman" w:eastAsia="Times New Roman" w:hAnsi="Times New Roman"/>
                <w:color w:val="000000"/>
                <w:sz w:val="20"/>
                <w:szCs w:val="20"/>
              </w:rPr>
            </w:pPr>
            <w:r>
              <w:rPr>
                <w:rFonts w:ascii="Times New Roman" w:hAnsi="Times New Roman"/>
                <w:color w:val="000000"/>
                <w:sz w:val="20"/>
              </w:rPr>
              <w:t>0.3</w:t>
            </w:r>
          </w:p>
        </w:tc>
        <w:tc>
          <w:tcPr>
            <w:tcW w:w="647" w:type="pct"/>
            <w:tcBorders>
              <w:top w:val="single" w:sz="4" w:space="0" w:color="auto"/>
              <w:left w:val="single" w:sz="4" w:space="0" w:color="auto"/>
              <w:bottom w:val="single" w:sz="4" w:space="0" w:color="auto"/>
              <w:right w:val="single" w:sz="4" w:space="0" w:color="auto"/>
            </w:tcBorders>
            <w:shd w:val="clear" w:color="000000" w:fill="E0F1E7"/>
            <w:noWrap/>
            <w:vAlign w:val="center"/>
            <w:hideMark/>
          </w:tcPr>
          <w:p w14:paraId="167C46E6" w14:textId="77777777" w:rsidR="00A37B53" w:rsidRPr="00A37B53" w:rsidRDefault="00A37B53" w:rsidP="00A37B53">
            <w:pPr>
              <w:spacing w:after="0" w:line="240" w:lineRule="auto"/>
              <w:jc w:val="center"/>
              <w:rPr>
                <w:rFonts w:ascii="Times New Roman" w:eastAsia="Times New Roman" w:hAnsi="Times New Roman"/>
                <w:color w:val="000000"/>
                <w:sz w:val="20"/>
                <w:szCs w:val="20"/>
              </w:rPr>
            </w:pPr>
            <w:r>
              <w:rPr>
                <w:rFonts w:ascii="Times New Roman" w:hAnsi="Times New Roman"/>
                <w:color w:val="000000"/>
                <w:sz w:val="20"/>
              </w:rPr>
              <w:t>0.5</w:t>
            </w:r>
          </w:p>
        </w:tc>
        <w:tc>
          <w:tcPr>
            <w:tcW w:w="647" w:type="pct"/>
            <w:tcBorders>
              <w:top w:val="single" w:sz="4" w:space="0" w:color="auto"/>
              <w:left w:val="single" w:sz="4" w:space="0" w:color="auto"/>
              <w:bottom w:val="single" w:sz="4" w:space="0" w:color="auto"/>
              <w:right w:val="single" w:sz="4" w:space="0" w:color="auto"/>
            </w:tcBorders>
            <w:shd w:val="clear" w:color="000000" w:fill="7AC88F"/>
            <w:noWrap/>
            <w:vAlign w:val="center"/>
            <w:hideMark/>
          </w:tcPr>
          <w:p w14:paraId="38B8B607" w14:textId="77777777" w:rsidR="00A37B53" w:rsidRPr="00A37B53" w:rsidRDefault="00A37B53" w:rsidP="00A37B53">
            <w:pPr>
              <w:spacing w:after="0" w:line="240" w:lineRule="auto"/>
              <w:jc w:val="center"/>
              <w:rPr>
                <w:rFonts w:ascii="Times New Roman" w:eastAsia="Times New Roman" w:hAnsi="Times New Roman"/>
                <w:color w:val="000000"/>
                <w:sz w:val="20"/>
                <w:szCs w:val="20"/>
              </w:rPr>
            </w:pPr>
            <w:r>
              <w:rPr>
                <w:rFonts w:ascii="Times New Roman" w:hAnsi="Times New Roman"/>
                <w:color w:val="000000"/>
                <w:sz w:val="20"/>
              </w:rPr>
              <w:t>2.3</w:t>
            </w:r>
          </w:p>
        </w:tc>
        <w:tc>
          <w:tcPr>
            <w:tcW w:w="647" w:type="pct"/>
            <w:tcBorders>
              <w:top w:val="single" w:sz="4" w:space="0" w:color="auto"/>
              <w:left w:val="single" w:sz="4" w:space="0" w:color="auto"/>
              <w:bottom w:val="single" w:sz="4" w:space="0" w:color="auto"/>
              <w:right w:val="single" w:sz="4" w:space="0" w:color="auto"/>
            </w:tcBorders>
            <w:shd w:val="clear" w:color="000000" w:fill="E0F1E7"/>
            <w:noWrap/>
            <w:vAlign w:val="center"/>
            <w:hideMark/>
          </w:tcPr>
          <w:p w14:paraId="212C0788" w14:textId="77777777" w:rsidR="00A37B53" w:rsidRPr="00A37B53" w:rsidRDefault="00A37B53" w:rsidP="00A37B53">
            <w:pPr>
              <w:spacing w:after="0" w:line="240" w:lineRule="auto"/>
              <w:jc w:val="center"/>
              <w:rPr>
                <w:rFonts w:ascii="Times New Roman" w:eastAsia="Times New Roman" w:hAnsi="Times New Roman"/>
                <w:color w:val="000000"/>
                <w:sz w:val="20"/>
                <w:szCs w:val="20"/>
              </w:rPr>
            </w:pPr>
            <w:r>
              <w:rPr>
                <w:rFonts w:ascii="Times New Roman" w:hAnsi="Times New Roman"/>
                <w:color w:val="000000"/>
                <w:sz w:val="20"/>
              </w:rPr>
              <w:t>0.5</w:t>
            </w:r>
          </w:p>
        </w:tc>
        <w:tc>
          <w:tcPr>
            <w:tcW w:w="647" w:type="pct"/>
            <w:tcBorders>
              <w:top w:val="single" w:sz="4" w:space="0" w:color="auto"/>
              <w:left w:val="single" w:sz="4" w:space="0" w:color="auto"/>
              <w:bottom w:val="single" w:sz="4" w:space="0" w:color="auto"/>
              <w:right w:val="nil"/>
            </w:tcBorders>
            <w:shd w:val="clear" w:color="000000" w:fill="DFF1E6"/>
            <w:noWrap/>
            <w:vAlign w:val="center"/>
            <w:hideMark/>
          </w:tcPr>
          <w:p w14:paraId="3129AFD8" w14:textId="77777777" w:rsidR="00A37B53" w:rsidRPr="00A37B53" w:rsidRDefault="00A37B53" w:rsidP="00A37B53">
            <w:pPr>
              <w:spacing w:after="0" w:line="240" w:lineRule="auto"/>
              <w:jc w:val="center"/>
              <w:rPr>
                <w:rFonts w:ascii="Times New Roman" w:eastAsia="Times New Roman" w:hAnsi="Times New Roman"/>
                <w:color w:val="000000"/>
                <w:sz w:val="20"/>
                <w:szCs w:val="20"/>
              </w:rPr>
            </w:pPr>
            <w:r>
              <w:rPr>
                <w:rFonts w:ascii="Times New Roman" w:hAnsi="Times New Roman"/>
                <w:color w:val="000000"/>
                <w:sz w:val="20"/>
              </w:rPr>
              <w:t>0.5</w:t>
            </w:r>
          </w:p>
        </w:tc>
      </w:tr>
      <w:tr w:rsidR="00A37B53" w:rsidRPr="00A37B53" w14:paraId="5676B74A" w14:textId="77777777" w:rsidTr="00385866">
        <w:trPr>
          <w:cantSplit/>
          <w:trHeight w:val="180"/>
          <w:jc w:val="center"/>
        </w:trPr>
        <w:tc>
          <w:tcPr>
            <w:tcW w:w="896" w:type="pct"/>
            <w:vMerge/>
            <w:tcBorders>
              <w:top w:val="nil"/>
              <w:left w:val="nil"/>
              <w:bottom w:val="single" w:sz="4" w:space="0" w:color="auto"/>
              <w:right w:val="single" w:sz="4" w:space="0" w:color="auto"/>
            </w:tcBorders>
            <w:vAlign w:val="center"/>
            <w:hideMark/>
          </w:tcPr>
          <w:p w14:paraId="1EC10A08" w14:textId="77777777" w:rsidR="00A37B53" w:rsidRPr="00A37B53" w:rsidRDefault="00A37B53" w:rsidP="00A37B53">
            <w:pPr>
              <w:spacing w:after="0" w:line="240" w:lineRule="auto"/>
              <w:rPr>
                <w:rFonts w:ascii="Times New Roman" w:eastAsia="Times New Roman" w:hAnsi="Times New Roman"/>
                <w:b/>
                <w:bCs/>
                <w:color w:val="000000"/>
                <w:sz w:val="20"/>
                <w:szCs w:val="20"/>
                <w:lang w:eastAsia="pt-BR"/>
              </w:rPr>
            </w:pPr>
          </w:p>
        </w:tc>
        <w:tc>
          <w:tcPr>
            <w:tcW w:w="869" w:type="pct"/>
            <w:tcBorders>
              <w:top w:val="nil"/>
              <w:left w:val="nil"/>
              <w:bottom w:val="single" w:sz="4" w:space="0" w:color="auto"/>
              <w:right w:val="single" w:sz="4" w:space="0" w:color="auto"/>
            </w:tcBorders>
            <w:shd w:val="clear" w:color="auto" w:fill="auto"/>
            <w:noWrap/>
            <w:vAlign w:val="center"/>
            <w:hideMark/>
          </w:tcPr>
          <w:p w14:paraId="6EAAA633" w14:textId="77777777" w:rsidR="00A37B53" w:rsidRPr="00A37B53" w:rsidRDefault="00A37B53" w:rsidP="00A37B53">
            <w:pPr>
              <w:spacing w:after="0" w:line="240" w:lineRule="auto"/>
              <w:rPr>
                <w:rFonts w:ascii="Times New Roman" w:eastAsia="Times New Roman" w:hAnsi="Times New Roman"/>
                <w:color w:val="000000"/>
                <w:sz w:val="20"/>
                <w:szCs w:val="20"/>
              </w:rPr>
            </w:pPr>
            <w:r>
              <w:rPr>
                <w:rFonts w:ascii="Times New Roman" w:hAnsi="Times New Roman"/>
                <w:color w:val="000000"/>
                <w:sz w:val="20"/>
              </w:rPr>
              <w:t>South</w:t>
            </w:r>
          </w:p>
        </w:tc>
        <w:tc>
          <w:tcPr>
            <w:tcW w:w="647" w:type="pct"/>
            <w:tcBorders>
              <w:top w:val="single" w:sz="4" w:space="0" w:color="auto"/>
              <w:left w:val="single" w:sz="4" w:space="0" w:color="auto"/>
              <w:bottom w:val="single" w:sz="4" w:space="0" w:color="auto"/>
              <w:right w:val="single" w:sz="4" w:space="0" w:color="auto"/>
            </w:tcBorders>
            <w:shd w:val="clear" w:color="000000" w:fill="FCFCFF"/>
            <w:noWrap/>
            <w:vAlign w:val="center"/>
            <w:hideMark/>
          </w:tcPr>
          <w:p w14:paraId="23B6F5CE" w14:textId="77777777" w:rsidR="00A37B53" w:rsidRPr="00A37B53" w:rsidRDefault="00A37B53" w:rsidP="00A37B53">
            <w:pPr>
              <w:spacing w:after="0" w:line="240" w:lineRule="auto"/>
              <w:jc w:val="center"/>
              <w:rPr>
                <w:rFonts w:ascii="Times New Roman" w:eastAsia="Times New Roman" w:hAnsi="Times New Roman"/>
                <w:color w:val="000000"/>
                <w:sz w:val="20"/>
                <w:szCs w:val="20"/>
              </w:rPr>
            </w:pPr>
            <w:r>
              <w:rPr>
                <w:rFonts w:ascii="Times New Roman" w:hAnsi="Times New Roman"/>
                <w:color w:val="000000"/>
                <w:sz w:val="20"/>
              </w:rPr>
              <w:t>0.0</w:t>
            </w:r>
          </w:p>
        </w:tc>
        <w:tc>
          <w:tcPr>
            <w:tcW w:w="647" w:type="pct"/>
            <w:tcBorders>
              <w:top w:val="single" w:sz="4" w:space="0" w:color="auto"/>
              <w:left w:val="single" w:sz="4" w:space="0" w:color="auto"/>
              <w:bottom w:val="single" w:sz="4" w:space="0" w:color="auto"/>
              <w:right w:val="single" w:sz="4" w:space="0" w:color="auto"/>
            </w:tcBorders>
            <w:shd w:val="clear" w:color="000000" w:fill="FCFCFF"/>
            <w:noWrap/>
            <w:vAlign w:val="center"/>
            <w:hideMark/>
          </w:tcPr>
          <w:p w14:paraId="3D009C4E" w14:textId="77777777" w:rsidR="00A37B53" w:rsidRPr="00A37B53" w:rsidRDefault="00A37B53" w:rsidP="00A37B53">
            <w:pPr>
              <w:spacing w:after="0" w:line="240" w:lineRule="auto"/>
              <w:jc w:val="center"/>
              <w:rPr>
                <w:rFonts w:ascii="Times New Roman" w:eastAsia="Times New Roman" w:hAnsi="Times New Roman"/>
                <w:color w:val="000000"/>
                <w:sz w:val="20"/>
                <w:szCs w:val="20"/>
              </w:rPr>
            </w:pPr>
            <w:r>
              <w:rPr>
                <w:rFonts w:ascii="Times New Roman" w:hAnsi="Times New Roman"/>
                <w:color w:val="000000"/>
                <w:sz w:val="20"/>
              </w:rPr>
              <w:t>0.0</w:t>
            </w:r>
          </w:p>
        </w:tc>
        <w:tc>
          <w:tcPr>
            <w:tcW w:w="647" w:type="pct"/>
            <w:tcBorders>
              <w:top w:val="single" w:sz="4" w:space="0" w:color="auto"/>
              <w:left w:val="single" w:sz="4" w:space="0" w:color="auto"/>
              <w:bottom w:val="single" w:sz="4" w:space="0" w:color="auto"/>
              <w:right w:val="single" w:sz="4" w:space="0" w:color="auto"/>
            </w:tcBorders>
            <w:shd w:val="clear" w:color="000000" w:fill="F9FBFC"/>
            <w:noWrap/>
            <w:vAlign w:val="center"/>
            <w:hideMark/>
          </w:tcPr>
          <w:p w14:paraId="5B792637" w14:textId="77777777" w:rsidR="00A37B53" w:rsidRPr="00A37B53" w:rsidRDefault="00A37B53" w:rsidP="00A37B53">
            <w:pPr>
              <w:spacing w:after="0" w:line="240" w:lineRule="auto"/>
              <w:jc w:val="center"/>
              <w:rPr>
                <w:rFonts w:ascii="Times New Roman" w:eastAsia="Times New Roman" w:hAnsi="Times New Roman"/>
                <w:color w:val="000000"/>
                <w:sz w:val="20"/>
                <w:szCs w:val="20"/>
              </w:rPr>
            </w:pPr>
            <w:r>
              <w:rPr>
                <w:rFonts w:ascii="Times New Roman" w:hAnsi="Times New Roman"/>
                <w:color w:val="000000"/>
                <w:sz w:val="20"/>
              </w:rPr>
              <w:t>0.1</w:t>
            </w:r>
          </w:p>
        </w:tc>
        <w:tc>
          <w:tcPr>
            <w:tcW w:w="647" w:type="pct"/>
            <w:tcBorders>
              <w:top w:val="single" w:sz="4" w:space="0" w:color="auto"/>
              <w:left w:val="single" w:sz="4" w:space="0" w:color="auto"/>
              <w:bottom w:val="single" w:sz="4" w:space="0" w:color="auto"/>
              <w:right w:val="single" w:sz="4" w:space="0" w:color="auto"/>
            </w:tcBorders>
            <w:shd w:val="clear" w:color="000000" w:fill="AADBB8"/>
            <w:noWrap/>
            <w:vAlign w:val="center"/>
            <w:hideMark/>
          </w:tcPr>
          <w:p w14:paraId="51BBE991" w14:textId="77777777" w:rsidR="00A37B53" w:rsidRPr="00A37B53" w:rsidRDefault="00A37B53" w:rsidP="00A37B53">
            <w:pPr>
              <w:spacing w:after="0" w:line="240" w:lineRule="auto"/>
              <w:jc w:val="center"/>
              <w:rPr>
                <w:rFonts w:ascii="Times New Roman" w:eastAsia="Times New Roman" w:hAnsi="Times New Roman"/>
                <w:color w:val="000000"/>
                <w:sz w:val="20"/>
                <w:szCs w:val="20"/>
              </w:rPr>
            </w:pPr>
            <w:r>
              <w:rPr>
                <w:rFonts w:ascii="Times New Roman" w:hAnsi="Times New Roman"/>
                <w:color w:val="000000"/>
                <w:sz w:val="20"/>
              </w:rPr>
              <w:t>1.5</w:t>
            </w:r>
          </w:p>
        </w:tc>
        <w:tc>
          <w:tcPr>
            <w:tcW w:w="647" w:type="pct"/>
            <w:tcBorders>
              <w:top w:val="single" w:sz="4" w:space="0" w:color="auto"/>
              <w:left w:val="single" w:sz="4" w:space="0" w:color="auto"/>
              <w:bottom w:val="single" w:sz="4" w:space="0" w:color="auto"/>
              <w:right w:val="nil"/>
            </w:tcBorders>
            <w:shd w:val="clear" w:color="000000" w:fill="FBFCFF"/>
            <w:noWrap/>
            <w:vAlign w:val="center"/>
            <w:hideMark/>
          </w:tcPr>
          <w:p w14:paraId="30FC347F" w14:textId="77777777" w:rsidR="00A37B53" w:rsidRPr="00A37B53" w:rsidRDefault="00A37B53" w:rsidP="00A37B53">
            <w:pPr>
              <w:spacing w:after="0" w:line="240" w:lineRule="auto"/>
              <w:jc w:val="center"/>
              <w:rPr>
                <w:rFonts w:ascii="Times New Roman" w:eastAsia="Times New Roman" w:hAnsi="Times New Roman"/>
                <w:color w:val="000000"/>
                <w:sz w:val="20"/>
                <w:szCs w:val="20"/>
              </w:rPr>
            </w:pPr>
            <w:r>
              <w:rPr>
                <w:rFonts w:ascii="Times New Roman" w:hAnsi="Times New Roman"/>
                <w:color w:val="000000"/>
                <w:sz w:val="20"/>
              </w:rPr>
              <w:t>0.0</w:t>
            </w:r>
          </w:p>
        </w:tc>
      </w:tr>
      <w:tr w:rsidR="00A37B53" w:rsidRPr="00A37B53" w14:paraId="78924646" w14:textId="77777777" w:rsidTr="00385866">
        <w:trPr>
          <w:cantSplit/>
          <w:trHeight w:val="180"/>
          <w:jc w:val="center"/>
        </w:trPr>
        <w:tc>
          <w:tcPr>
            <w:tcW w:w="896" w:type="pct"/>
            <w:vMerge/>
            <w:tcBorders>
              <w:top w:val="nil"/>
              <w:left w:val="nil"/>
              <w:bottom w:val="single" w:sz="4" w:space="0" w:color="auto"/>
              <w:right w:val="single" w:sz="4" w:space="0" w:color="auto"/>
            </w:tcBorders>
            <w:vAlign w:val="center"/>
            <w:hideMark/>
          </w:tcPr>
          <w:p w14:paraId="236272D8" w14:textId="77777777" w:rsidR="00A37B53" w:rsidRPr="00A37B53" w:rsidRDefault="00A37B53" w:rsidP="00A37B53">
            <w:pPr>
              <w:spacing w:after="0" w:line="240" w:lineRule="auto"/>
              <w:rPr>
                <w:rFonts w:ascii="Times New Roman" w:eastAsia="Times New Roman" w:hAnsi="Times New Roman"/>
                <w:b/>
                <w:bCs/>
                <w:color w:val="000000"/>
                <w:sz w:val="20"/>
                <w:szCs w:val="20"/>
                <w:lang w:eastAsia="pt-BR"/>
              </w:rPr>
            </w:pPr>
          </w:p>
        </w:tc>
        <w:tc>
          <w:tcPr>
            <w:tcW w:w="869" w:type="pct"/>
            <w:tcBorders>
              <w:top w:val="nil"/>
              <w:left w:val="nil"/>
              <w:bottom w:val="single" w:sz="4" w:space="0" w:color="auto"/>
              <w:right w:val="single" w:sz="4" w:space="0" w:color="auto"/>
            </w:tcBorders>
            <w:shd w:val="clear" w:color="auto" w:fill="auto"/>
            <w:noWrap/>
            <w:vAlign w:val="center"/>
            <w:hideMark/>
          </w:tcPr>
          <w:p w14:paraId="12DC7D99" w14:textId="237CCFE8" w:rsidR="00A37B53" w:rsidRPr="00A37B53" w:rsidRDefault="00C03EC0" w:rsidP="00A37B53">
            <w:pPr>
              <w:spacing w:after="0" w:line="240" w:lineRule="auto"/>
              <w:rPr>
                <w:rFonts w:ascii="Times New Roman" w:eastAsia="Times New Roman" w:hAnsi="Times New Roman"/>
                <w:color w:val="000000"/>
                <w:sz w:val="20"/>
                <w:szCs w:val="20"/>
              </w:rPr>
            </w:pPr>
            <w:r>
              <w:rPr>
                <w:rFonts w:ascii="Times New Roman" w:hAnsi="Times New Roman"/>
                <w:color w:val="000000"/>
                <w:sz w:val="20"/>
              </w:rPr>
              <w:t>Midwest</w:t>
            </w:r>
          </w:p>
        </w:tc>
        <w:tc>
          <w:tcPr>
            <w:tcW w:w="647" w:type="pct"/>
            <w:tcBorders>
              <w:top w:val="single" w:sz="4" w:space="0" w:color="auto"/>
              <w:left w:val="single" w:sz="4" w:space="0" w:color="auto"/>
              <w:bottom w:val="single" w:sz="4" w:space="0" w:color="auto"/>
              <w:right w:val="single" w:sz="4" w:space="0" w:color="auto"/>
            </w:tcBorders>
            <w:shd w:val="clear" w:color="000000" w:fill="FAFCFD"/>
            <w:noWrap/>
            <w:vAlign w:val="center"/>
            <w:hideMark/>
          </w:tcPr>
          <w:p w14:paraId="2FCB01BE" w14:textId="77777777" w:rsidR="00A37B53" w:rsidRPr="00A37B53" w:rsidRDefault="00A37B53" w:rsidP="00A37B53">
            <w:pPr>
              <w:spacing w:after="0" w:line="240" w:lineRule="auto"/>
              <w:jc w:val="center"/>
              <w:rPr>
                <w:rFonts w:ascii="Times New Roman" w:eastAsia="Times New Roman" w:hAnsi="Times New Roman"/>
                <w:color w:val="000000"/>
                <w:sz w:val="20"/>
                <w:szCs w:val="20"/>
              </w:rPr>
            </w:pPr>
            <w:r>
              <w:rPr>
                <w:rFonts w:ascii="Times New Roman" w:hAnsi="Times New Roman"/>
                <w:color w:val="000000"/>
                <w:sz w:val="20"/>
              </w:rPr>
              <w:t>0.1</w:t>
            </w:r>
          </w:p>
        </w:tc>
        <w:tc>
          <w:tcPr>
            <w:tcW w:w="647" w:type="pct"/>
            <w:tcBorders>
              <w:top w:val="single" w:sz="4" w:space="0" w:color="auto"/>
              <w:left w:val="single" w:sz="4" w:space="0" w:color="auto"/>
              <w:bottom w:val="single" w:sz="4" w:space="0" w:color="auto"/>
              <w:right w:val="single" w:sz="4" w:space="0" w:color="auto"/>
            </w:tcBorders>
            <w:shd w:val="clear" w:color="000000" w:fill="F9FBFC"/>
            <w:noWrap/>
            <w:vAlign w:val="center"/>
            <w:hideMark/>
          </w:tcPr>
          <w:p w14:paraId="1A0EA17B" w14:textId="77777777" w:rsidR="00A37B53" w:rsidRPr="00A37B53" w:rsidRDefault="00A37B53" w:rsidP="00A37B53">
            <w:pPr>
              <w:spacing w:after="0" w:line="240" w:lineRule="auto"/>
              <w:jc w:val="center"/>
              <w:rPr>
                <w:rFonts w:ascii="Times New Roman" w:eastAsia="Times New Roman" w:hAnsi="Times New Roman"/>
                <w:color w:val="000000"/>
                <w:sz w:val="20"/>
                <w:szCs w:val="20"/>
              </w:rPr>
            </w:pPr>
            <w:r>
              <w:rPr>
                <w:rFonts w:ascii="Times New Roman" w:hAnsi="Times New Roman"/>
                <w:color w:val="000000"/>
                <w:sz w:val="20"/>
              </w:rPr>
              <w:t>0.1</w:t>
            </w:r>
          </w:p>
        </w:tc>
        <w:tc>
          <w:tcPr>
            <w:tcW w:w="647" w:type="pct"/>
            <w:tcBorders>
              <w:top w:val="single" w:sz="4" w:space="0" w:color="auto"/>
              <w:left w:val="single" w:sz="4" w:space="0" w:color="auto"/>
              <w:bottom w:val="single" w:sz="4" w:space="0" w:color="auto"/>
              <w:right w:val="single" w:sz="4" w:space="0" w:color="auto"/>
            </w:tcBorders>
            <w:shd w:val="clear" w:color="000000" w:fill="FAFBFD"/>
            <w:noWrap/>
            <w:vAlign w:val="center"/>
            <w:hideMark/>
          </w:tcPr>
          <w:p w14:paraId="3E559BCA" w14:textId="77777777" w:rsidR="00A37B53" w:rsidRPr="00A37B53" w:rsidRDefault="00A37B53" w:rsidP="00A37B53">
            <w:pPr>
              <w:spacing w:after="0" w:line="240" w:lineRule="auto"/>
              <w:jc w:val="center"/>
              <w:rPr>
                <w:rFonts w:ascii="Times New Roman" w:eastAsia="Times New Roman" w:hAnsi="Times New Roman"/>
                <w:color w:val="000000"/>
                <w:sz w:val="20"/>
                <w:szCs w:val="20"/>
              </w:rPr>
            </w:pPr>
            <w:r>
              <w:rPr>
                <w:rFonts w:ascii="Times New Roman" w:hAnsi="Times New Roman"/>
                <w:color w:val="000000"/>
                <w:sz w:val="20"/>
              </w:rPr>
              <w:t>0.1</w:t>
            </w:r>
          </w:p>
        </w:tc>
        <w:tc>
          <w:tcPr>
            <w:tcW w:w="647" w:type="pct"/>
            <w:tcBorders>
              <w:top w:val="single" w:sz="4" w:space="0" w:color="auto"/>
              <w:left w:val="single" w:sz="4" w:space="0" w:color="auto"/>
              <w:bottom w:val="single" w:sz="4" w:space="0" w:color="auto"/>
              <w:right w:val="single" w:sz="4" w:space="0" w:color="auto"/>
            </w:tcBorders>
            <w:shd w:val="clear" w:color="000000" w:fill="F8FBFB"/>
            <w:noWrap/>
            <w:vAlign w:val="center"/>
            <w:hideMark/>
          </w:tcPr>
          <w:p w14:paraId="75465F62" w14:textId="77777777" w:rsidR="00A37B53" w:rsidRPr="00A37B53" w:rsidRDefault="00A37B53" w:rsidP="00A37B53">
            <w:pPr>
              <w:spacing w:after="0" w:line="240" w:lineRule="auto"/>
              <w:jc w:val="center"/>
              <w:rPr>
                <w:rFonts w:ascii="Times New Roman" w:eastAsia="Times New Roman" w:hAnsi="Times New Roman"/>
                <w:color w:val="000000"/>
                <w:sz w:val="20"/>
                <w:szCs w:val="20"/>
              </w:rPr>
            </w:pPr>
            <w:r>
              <w:rPr>
                <w:rFonts w:ascii="Times New Roman" w:hAnsi="Times New Roman"/>
                <w:color w:val="000000"/>
                <w:sz w:val="20"/>
              </w:rPr>
              <w:t>0.1</w:t>
            </w:r>
          </w:p>
        </w:tc>
        <w:tc>
          <w:tcPr>
            <w:tcW w:w="647" w:type="pct"/>
            <w:tcBorders>
              <w:top w:val="single" w:sz="4" w:space="0" w:color="auto"/>
              <w:left w:val="single" w:sz="4" w:space="0" w:color="auto"/>
              <w:bottom w:val="single" w:sz="4" w:space="0" w:color="auto"/>
              <w:right w:val="nil"/>
            </w:tcBorders>
            <w:shd w:val="clear" w:color="000000" w:fill="BAE1C6"/>
            <w:noWrap/>
            <w:vAlign w:val="center"/>
            <w:hideMark/>
          </w:tcPr>
          <w:p w14:paraId="27C62BFD" w14:textId="77777777" w:rsidR="00A37B53" w:rsidRPr="00A37B53" w:rsidRDefault="00A37B53" w:rsidP="00A37B53">
            <w:pPr>
              <w:spacing w:after="0" w:line="240" w:lineRule="auto"/>
              <w:jc w:val="center"/>
              <w:rPr>
                <w:rFonts w:ascii="Times New Roman" w:eastAsia="Times New Roman" w:hAnsi="Times New Roman"/>
                <w:color w:val="000000"/>
                <w:sz w:val="20"/>
                <w:szCs w:val="20"/>
              </w:rPr>
            </w:pPr>
            <w:r>
              <w:rPr>
                <w:rFonts w:ascii="Times New Roman" w:hAnsi="Times New Roman"/>
                <w:color w:val="000000"/>
                <w:sz w:val="20"/>
              </w:rPr>
              <w:t>1.2</w:t>
            </w:r>
          </w:p>
        </w:tc>
      </w:tr>
      <w:tr w:rsidR="00A37B53" w:rsidRPr="00A37B53" w14:paraId="2671444F" w14:textId="77777777" w:rsidTr="00385866">
        <w:trPr>
          <w:cantSplit/>
          <w:trHeight w:val="180"/>
          <w:jc w:val="center"/>
        </w:trPr>
        <w:tc>
          <w:tcPr>
            <w:tcW w:w="896" w:type="pct"/>
            <w:vMerge/>
            <w:tcBorders>
              <w:top w:val="nil"/>
              <w:left w:val="nil"/>
              <w:bottom w:val="single" w:sz="4" w:space="0" w:color="auto"/>
              <w:right w:val="single" w:sz="4" w:space="0" w:color="auto"/>
            </w:tcBorders>
            <w:vAlign w:val="center"/>
            <w:hideMark/>
          </w:tcPr>
          <w:p w14:paraId="1E9EE291" w14:textId="77777777" w:rsidR="00A37B53" w:rsidRPr="00A37B53" w:rsidRDefault="00A37B53" w:rsidP="00A37B53">
            <w:pPr>
              <w:spacing w:after="0" w:line="240" w:lineRule="auto"/>
              <w:rPr>
                <w:rFonts w:ascii="Times New Roman" w:eastAsia="Times New Roman" w:hAnsi="Times New Roman"/>
                <w:b/>
                <w:bCs/>
                <w:color w:val="000000"/>
                <w:sz w:val="20"/>
                <w:szCs w:val="20"/>
                <w:lang w:eastAsia="pt-BR"/>
              </w:rPr>
            </w:pPr>
          </w:p>
        </w:tc>
        <w:tc>
          <w:tcPr>
            <w:tcW w:w="869" w:type="pct"/>
            <w:tcBorders>
              <w:top w:val="nil"/>
              <w:left w:val="nil"/>
              <w:bottom w:val="single" w:sz="4" w:space="0" w:color="auto"/>
              <w:right w:val="single" w:sz="4" w:space="0" w:color="auto"/>
            </w:tcBorders>
            <w:shd w:val="clear" w:color="auto" w:fill="auto"/>
            <w:noWrap/>
            <w:vAlign w:val="center"/>
            <w:hideMark/>
          </w:tcPr>
          <w:p w14:paraId="5066A752" w14:textId="77777777" w:rsidR="00A37B53" w:rsidRPr="00A37B53" w:rsidRDefault="00A37B53" w:rsidP="00A37B53">
            <w:pPr>
              <w:spacing w:after="0" w:line="240" w:lineRule="auto"/>
              <w:rPr>
                <w:rFonts w:ascii="Times New Roman" w:eastAsia="Times New Roman" w:hAnsi="Times New Roman"/>
                <w:b/>
                <w:bCs/>
                <w:color w:val="000000"/>
                <w:sz w:val="20"/>
                <w:szCs w:val="20"/>
              </w:rPr>
            </w:pPr>
            <w:r>
              <w:rPr>
                <w:rFonts w:ascii="Times New Roman" w:hAnsi="Times New Roman"/>
                <w:b/>
                <w:color w:val="000000"/>
                <w:sz w:val="20"/>
              </w:rPr>
              <w:t>Total</w:t>
            </w:r>
          </w:p>
        </w:tc>
        <w:tc>
          <w:tcPr>
            <w:tcW w:w="647" w:type="pct"/>
            <w:tcBorders>
              <w:top w:val="single" w:sz="4" w:space="0" w:color="auto"/>
              <w:left w:val="single" w:sz="4" w:space="0" w:color="auto"/>
              <w:bottom w:val="single" w:sz="4" w:space="0" w:color="auto"/>
              <w:right w:val="single" w:sz="4" w:space="0" w:color="auto"/>
            </w:tcBorders>
            <w:shd w:val="clear" w:color="000000" w:fill="CEEAD8"/>
            <w:noWrap/>
            <w:vAlign w:val="center"/>
            <w:hideMark/>
          </w:tcPr>
          <w:p w14:paraId="0D2DDC0B" w14:textId="77777777" w:rsidR="00A37B53" w:rsidRPr="00A37B53" w:rsidRDefault="00A37B53" w:rsidP="00A37B53">
            <w:pPr>
              <w:spacing w:after="0" w:line="240" w:lineRule="auto"/>
              <w:jc w:val="center"/>
              <w:rPr>
                <w:rFonts w:ascii="Times New Roman" w:eastAsia="Times New Roman" w:hAnsi="Times New Roman"/>
                <w:b/>
                <w:bCs/>
                <w:color w:val="000000"/>
                <w:sz w:val="20"/>
                <w:szCs w:val="20"/>
              </w:rPr>
            </w:pPr>
            <w:r>
              <w:rPr>
                <w:rFonts w:ascii="Times New Roman" w:hAnsi="Times New Roman"/>
                <w:b/>
                <w:color w:val="000000"/>
                <w:sz w:val="20"/>
              </w:rPr>
              <w:t>2.4</w:t>
            </w:r>
          </w:p>
        </w:tc>
        <w:tc>
          <w:tcPr>
            <w:tcW w:w="647" w:type="pct"/>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335F5103" w14:textId="77777777" w:rsidR="00A37B53" w:rsidRPr="00A37B53" w:rsidRDefault="00A37B53" w:rsidP="00A37B53">
            <w:pPr>
              <w:spacing w:after="0" w:line="240" w:lineRule="auto"/>
              <w:jc w:val="center"/>
              <w:rPr>
                <w:rFonts w:ascii="Times New Roman" w:eastAsia="Times New Roman" w:hAnsi="Times New Roman"/>
                <w:b/>
                <w:bCs/>
                <w:color w:val="000000"/>
                <w:sz w:val="20"/>
                <w:szCs w:val="20"/>
              </w:rPr>
            </w:pPr>
            <w:r>
              <w:rPr>
                <w:rFonts w:ascii="Times New Roman" w:hAnsi="Times New Roman"/>
                <w:b/>
                <w:color w:val="000000"/>
                <w:sz w:val="20"/>
              </w:rPr>
              <w:t>3.5</w:t>
            </w:r>
          </w:p>
        </w:tc>
        <w:tc>
          <w:tcPr>
            <w:tcW w:w="647" w:type="pct"/>
            <w:tcBorders>
              <w:top w:val="single" w:sz="4" w:space="0" w:color="auto"/>
              <w:left w:val="single" w:sz="4" w:space="0" w:color="auto"/>
              <w:bottom w:val="single" w:sz="4" w:space="0" w:color="auto"/>
              <w:right w:val="single" w:sz="4" w:space="0" w:color="auto"/>
            </w:tcBorders>
            <w:shd w:val="clear" w:color="000000" w:fill="B4DFC1"/>
            <w:noWrap/>
            <w:vAlign w:val="center"/>
            <w:hideMark/>
          </w:tcPr>
          <w:p w14:paraId="6AB3B0B6" w14:textId="77777777" w:rsidR="00A37B53" w:rsidRPr="00A37B53" w:rsidRDefault="00A37B53" w:rsidP="00A37B53">
            <w:pPr>
              <w:spacing w:after="0" w:line="240" w:lineRule="auto"/>
              <w:jc w:val="center"/>
              <w:rPr>
                <w:rFonts w:ascii="Times New Roman" w:eastAsia="Times New Roman" w:hAnsi="Times New Roman"/>
                <w:b/>
                <w:bCs/>
                <w:color w:val="000000"/>
                <w:sz w:val="20"/>
                <w:szCs w:val="20"/>
              </w:rPr>
            </w:pPr>
            <w:r>
              <w:rPr>
                <w:rFonts w:ascii="Times New Roman" w:hAnsi="Times New Roman"/>
                <w:b/>
                <w:color w:val="000000"/>
                <w:sz w:val="20"/>
              </w:rPr>
              <w:t>2.7</w:t>
            </w:r>
          </w:p>
        </w:tc>
        <w:tc>
          <w:tcPr>
            <w:tcW w:w="647" w:type="pct"/>
            <w:tcBorders>
              <w:top w:val="single" w:sz="4" w:space="0" w:color="auto"/>
              <w:left w:val="single" w:sz="4" w:space="0" w:color="auto"/>
              <w:bottom w:val="single" w:sz="4" w:space="0" w:color="auto"/>
              <w:right w:val="single" w:sz="4" w:space="0" w:color="auto"/>
            </w:tcBorders>
            <w:shd w:val="clear" w:color="000000" w:fill="DDF0E4"/>
            <w:noWrap/>
            <w:vAlign w:val="center"/>
            <w:hideMark/>
          </w:tcPr>
          <w:p w14:paraId="0A8F210B" w14:textId="77777777" w:rsidR="00A37B53" w:rsidRPr="00A37B53" w:rsidRDefault="00A37B53" w:rsidP="00A37B53">
            <w:pPr>
              <w:spacing w:after="0" w:line="240" w:lineRule="auto"/>
              <w:jc w:val="center"/>
              <w:rPr>
                <w:rFonts w:ascii="Times New Roman" w:eastAsia="Times New Roman" w:hAnsi="Times New Roman"/>
                <w:b/>
                <w:bCs/>
                <w:color w:val="000000"/>
                <w:sz w:val="20"/>
                <w:szCs w:val="20"/>
              </w:rPr>
            </w:pPr>
            <w:r>
              <w:rPr>
                <w:rFonts w:ascii="Times New Roman" w:hAnsi="Times New Roman"/>
                <w:b/>
                <w:color w:val="000000"/>
                <w:sz w:val="20"/>
              </w:rPr>
              <w:t>2.3</w:t>
            </w:r>
          </w:p>
        </w:tc>
        <w:tc>
          <w:tcPr>
            <w:tcW w:w="647" w:type="pct"/>
            <w:tcBorders>
              <w:top w:val="single" w:sz="4" w:space="0" w:color="auto"/>
              <w:left w:val="single" w:sz="4" w:space="0" w:color="auto"/>
              <w:bottom w:val="single" w:sz="4" w:space="0" w:color="auto"/>
              <w:right w:val="nil"/>
            </w:tcBorders>
            <w:shd w:val="clear" w:color="000000" w:fill="FCFCFF"/>
            <w:noWrap/>
            <w:vAlign w:val="center"/>
            <w:hideMark/>
          </w:tcPr>
          <w:p w14:paraId="2FF35E31" w14:textId="77777777" w:rsidR="00A37B53" w:rsidRPr="00A37B53" w:rsidRDefault="00A37B53" w:rsidP="00A37B53">
            <w:pPr>
              <w:spacing w:after="0" w:line="240" w:lineRule="auto"/>
              <w:jc w:val="center"/>
              <w:rPr>
                <w:rFonts w:ascii="Times New Roman" w:eastAsia="Times New Roman" w:hAnsi="Times New Roman"/>
                <w:b/>
                <w:bCs/>
                <w:color w:val="000000"/>
                <w:sz w:val="20"/>
                <w:szCs w:val="20"/>
              </w:rPr>
            </w:pPr>
            <w:r>
              <w:rPr>
                <w:rFonts w:ascii="Times New Roman" w:hAnsi="Times New Roman"/>
                <w:b/>
                <w:color w:val="000000"/>
                <w:sz w:val="20"/>
              </w:rPr>
              <w:t>2.0</w:t>
            </w:r>
          </w:p>
        </w:tc>
      </w:tr>
      <w:tr w:rsidR="00A37B53" w:rsidRPr="00A37B53" w14:paraId="03AC8A9A" w14:textId="77777777" w:rsidTr="00385866">
        <w:trPr>
          <w:cantSplit/>
          <w:trHeight w:val="180"/>
          <w:jc w:val="center"/>
        </w:trPr>
        <w:tc>
          <w:tcPr>
            <w:tcW w:w="896" w:type="pct"/>
            <w:vMerge w:val="restart"/>
            <w:tcBorders>
              <w:top w:val="nil"/>
              <w:left w:val="nil"/>
              <w:bottom w:val="double" w:sz="6" w:space="0" w:color="000000"/>
              <w:right w:val="single" w:sz="4" w:space="0" w:color="auto"/>
            </w:tcBorders>
            <w:shd w:val="clear" w:color="auto" w:fill="auto"/>
            <w:vAlign w:val="center"/>
            <w:hideMark/>
          </w:tcPr>
          <w:p w14:paraId="6256619D" w14:textId="77777777" w:rsidR="00A37B53" w:rsidRPr="00A37B53" w:rsidRDefault="00A37B53" w:rsidP="00A37B53">
            <w:pPr>
              <w:spacing w:after="0" w:line="240" w:lineRule="auto"/>
              <w:rPr>
                <w:rFonts w:ascii="Times New Roman" w:eastAsia="Times New Roman" w:hAnsi="Times New Roman"/>
                <w:b/>
                <w:bCs/>
                <w:color w:val="000000"/>
                <w:sz w:val="20"/>
                <w:szCs w:val="20"/>
              </w:rPr>
            </w:pPr>
            <w:r>
              <w:rPr>
                <w:rFonts w:ascii="Times New Roman" w:hAnsi="Times New Roman"/>
                <w:b/>
                <w:color w:val="000000"/>
                <w:sz w:val="20"/>
              </w:rPr>
              <w:t>Production</w:t>
            </w:r>
          </w:p>
        </w:tc>
        <w:tc>
          <w:tcPr>
            <w:tcW w:w="869" w:type="pct"/>
            <w:tcBorders>
              <w:top w:val="nil"/>
              <w:left w:val="nil"/>
              <w:bottom w:val="single" w:sz="4" w:space="0" w:color="auto"/>
              <w:right w:val="single" w:sz="4" w:space="0" w:color="auto"/>
            </w:tcBorders>
            <w:shd w:val="clear" w:color="auto" w:fill="auto"/>
            <w:noWrap/>
            <w:vAlign w:val="center"/>
            <w:hideMark/>
          </w:tcPr>
          <w:p w14:paraId="26EBB8DA" w14:textId="77777777" w:rsidR="00A37B53" w:rsidRPr="00A37B53" w:rsidRDefault="00A37B53" w:rsidP="00A37B53">
            <w:pPr>
              <w:spacing w:after="0" w:line="240" w:lineRule="auto"/>
              <w:rPr>
                <w:rFonts w:ascii="Times New Roman" w:eastAsia="Times New Roman" w:hAnsi="Times New Roman"/>
                <w:color w:val="000000"/>
                <w:sz w:val="20"/>
                <w:szCs w:val="20"/>
              </w:rPr>
            </w:pPr>
            <w:r>
              <w:rPr>
                <w:rFonts w:ascii="Times New Roman" w:hAnsi="Times New Roman"/>
                <w:color w:val="000000"/>
                <w:sz w:val="20"/>
              </w:rPr>
              <w:t>North</w:t>
            </w:r>
          </w:p>
        </w:tc>
        <w:tc>
          <w:tcPr>
            <w:tcW w:w="647" w:type="pct"/>
            <w:tcBorders>
              <w:top w:val="single" w:sz="4" w:space="0" w:color="auto"/>
              <w:left w:val="single" w:sz="4" w:space="0" w:color="auto"/>
              <w:bottom w:val="single" w:sz="4" w:space="0" w:color="auto"/>
              <w:right w:val="single" w:sz="4" w:space="0" w:color="auto"/>
            </w:tcBorders>
            <w:shd w:val="clear" w:color="000000" w:fill="87CD9A"/>
            <w:noWrap/>
            <w:vAlign w:val="center"/>
            <w:hideMark/>
          </w:tcPr>
          <w:p w14:paraId="3C1F3D7D" w14:textId="77777777" w:rsidR="00A37B53" w:rsidRPr="00A37B53" w:rsidRDefault="00A37B53" w:rsidP="00A37B53">
            <w:pPr>
              <w:spacing w:after="0" w:line="240" w:lineRule="auto"/>
              <w:jc w:val="center"/>
              <w:rPr>
                <w:rFonts w:ascii="Times New Roman" w:eastAsia="Times New Roman" w:hAnsi="Times New Roman"/>
                <w:color w:val="000000"/>
                <w:sz w:val="20"/>
                <w:szCs w:val="20"/>
              </w:rPr>
            </w:pPr>
            <w:r>
              <w:rPr>
                <w:rFonts w:ascii="Times New Roman" w:hAnsi="Times New Roman"/>
                <w:color w:val="000000"/>
                <w:sz w:val="20"/>
              </w:rPr>
              <w:t>48.0</w:t>
            </w:r>
          </w:p>
        </w:tc>
        <w:tc>
          <w:tcPr>
            <w:tcW w:w="647" w:type="pct"/>
            <w:tcBorders>
              <w:top w:val="single" w:sz="4" w:space="0" w:color="auto"/>
              <w:left w:val="single" w:sz="4" w:space="0" w:color="auto"/>
              <w:bottom w:val="single" w:sz="4" w:space="0" w:color="auto"/>
              <w:right w:val="single" w:sz="4" w:space="0" w:color="auto"/>
            </w:tcBorders>
            <w:shd w:val="clear" w:color="000000" w:fill="F8FBFC"/>
            <w:noWrap/>
            <w:vAlign w:val="center"/>
            <w:hideMark/>
          </w:tcPr>
          <w:p w14:paraId="1586CA64" w14:textId="77777777" w:rsidR="00A37B53" w:rsidRPr="00A37B53" w:rsidRDefault="00A37B53" w:rsidP="00A37B53">
            <w:pPr>
              <w:spacing w:after="0" w:line="240" w:lineRule="auto"/>
              <w:jc w:val="center"/>
              <w:rPr>
                <w:rFonts w:ascii="Times New Roman" w:eastAsia="Times New Roman" w:hAnsi="Times New Roman"/>
                <w:color w:val="000000"/>
                <w:sz w:val="20"/>
                <w:szCs w:val="20"/>
              </w:rPr>
            </w:pPr>
            <w:r>
              <w:rPr>
                <w:rFonts w:ascii="Times New Roman" w:hAnsi="Times New Roman"/>
                <w:color w:val="000000"/>
                <w:sz w:val="20"/>
              </w:rPr>
              <w:t>3.2</w:t>
            </w:r>
          </w:p>
        </w:tc>
        <w:tc>
          <w:tcPr>
            <w:tcW w:w="647" w:type="pct"/>
            <w:tcBorders>
              <w:top w:val="single" w:sz="4" w:space="0" w:color="auto"/>
              <w:left w:val="single" w:sz="4" w:space="0" w:color="auto"/>
              <w:bottom w:val="single" w:sz="4" w:space="0" w:color="auto"/>
              <w:right w:val="single" w:sz="4" w:space="0" w:color="auto"/>
            </w:tcBorders>
            <w:shd w:val="clear" w:color="000000" w:fill="F9FBFD"/>
            <w:noWrap/>
            <w:vAlign w:val="center"/>
            <w:hideMark/>
          </w:tcPr>
          <w:p w14:paraId="6F0F19F8" w14:textId="77777777" w:rsidR="00A37B53" w:rsidRPr="00A37B53" w:rsidRDefault="00A37B53" w:rsidP="00A37B53">
            <w:pPr>
              <w:spacing w:after="0" w:line="240" w:lineRule="auto"/>
              <w:jc w:val="center"/>
              <w:rPr>
                <w:rFonts w:ascii="Times New Roman" w:eastAsia="Times New Roman" w:hAnsi="Times New Roman"/>
                <w:color w:val="000000"/>
                <w:sz w:val="20"/>
                <w:szCs w:val="20"/>
              </w:rPr>
            </w:pPr>
            <w:r>
              <w:rPr>
                <w:rFonts w:ascii="Times New Roman" w:hAnsi="Times New Roman"/>
                <w:color w:val="000000"/>
                <w:sz w:val="20"/>
              </w:rPr>
              <w:t>2.8</w:t>
            </w:r>
          </w:p>
        </w:tc>
        <w:tc>
          <w:tcPr>
            <w:tcW w:w="647" w:type="pct"/>
            <w:tcBorders>
              <w:top w:val="single" w:sz="4" w:space="0" w:color="auto"/>
              <w:left w:val="single" w:sz="4" w:space="0" w:color="auto"/>
              <w:bottom w:val="single" w:sz="4" w:space="0" w:color="auto"/>
              <w:right w:val="single" w:sz="4" w:space="0" w:color="auto"/>
            </w:tcBorders>
            <w:shd w:val="clear" w:color="000000" w:fill="FBFCFF"/>
            <w:noWrap/>
            <w:vAlign w:val="center"/>
            <w:hideMark/>
          </w:tcPr>
          <w:p w14:paraId="31642F6A" w14:textId="77777777" w:rsidR="00A37B53" w:rsidRPr="00A37B53" w:rsidRDefault="00A37B53" w:rsidP="00A37B53">
            <w:pPr>
              <w:spacing w:after="0" w:line="240" w:lineRule="auto"/>
              <w:jc w:val="center"/>
              <w:rPr>
                <w:rFonts w:ascii="Times New Roman" w:eastAsia="Times New Roman" w:hAnsi="Times New Roman"/>
                <w:color w:val="000000"/>
                <w:sz w:val="20"/>
                <w:szCs w:val="20"/>
              </w:rPr>
            </w:pPr>
            <w:r>
              <w:rPr>
                <w:rFonts w:ascii="Times New Roman" w:hAnsi="Times New Roman"/>
                <w:color w:val="000000"/>
                <w:sz w:val="20"/>
              </w:rPr>
              <w:t>2.0</w:t>
            </w:r>
          </w:p>
        </w:tc>
        <w:tc>
          <w:tcPr>
            <w:tcW w:w="647" w:type="pct"/>
            <w:tcBorders>
              <w:top w:val="single" w:sz="4" w:space="0" w:color="auto"/>
              <w:left w:val="single" w:sz="4" w:space="0" w:color="auto"/>
              <w:bottom w:val="single" w:sz="4" w:space="0" w:color="auto"/>
              <w:right w:val="nil"/>
            </w:tcBorders>
            <w:shd w:val="clear" w:color="000000" w:fill="FAFBFD"/>
            <w:noWrap/>
            <w:vAlign w:val="center"/>
            <w:hideMark/>
          </w:tcPr>
          <w:p w14:paraId="6B7BB3C5" w14:textId="77777777" w:rsidR="00A37B53" w:rsidRPr="00A37B53" w:rsidRDefault="00A37B53" w:rsidP="00A37B53">
            <w:pPr>
              <w:spacing w:after="0" w:line="240" w:lineRule="auto"/>
              <w:jc w:val="center"/>
              <w:rPr>
                <w:rFonts w:ascii="Times New Roman" w:eastAsia="Times New Roman" w:hAnsi="Times New Roman"/>
                <w:color w:val="000000"/>
                <w:sz w:val="20"/>
                <w:szCs w:val="20"/>
              </w:rPr>
            </w:pPr>
            <w:r>
              <w:rPr>
                <w:rFonts w:ascii="Times New Roman" w:hAnsi="Times New Roman"/>
                <w:color w:val="000000"/>
                <w:sz w:val="20"/>
              </w:rPr>
              <w:t>2.5</w:t>
            </w:r>
          </w:p>
        </w:tc>
      </w:tr>
      <w:tr w:rsidR="00A37B53" w:rsidRPr="00A37B53" w14:paraId="7D58FD99" w14:textId="77777777" w:rsidTr="00385866">
        <w:trPr>
          <w:cantSplit/>
          <w:trHeight w:val="180"/>
          <w:jc w:val="center"/>
        </w:trPr>
        <w:tc>
          <w:tcPr>
            <w:tcW w:w="896" w:type="pct"/>
            <w:vMerge/>
            <w:tcBorders>
              <w:top w:val="nil"/>
              <w:left w:val="nil"/>
              <w:bottom w:val="double" w:sz="6" w:space="0" w:color="000000"/>
              <w:right w:val="single" w:sz="4" w:space="0" w:color="auto"/>
            </w:tcBorders>
            <w:vAlign w:val="center"/>
            <w:hideMark/>
          </w:tcPr>
          <w:p w14:paraId="0D4DD724" w14:textId="77777777" w:rsidR="00A37B53" w:rsidRPr="00A37B53" w:rsidRDefault="00A37B53" w:rsidP="00A37B53">
            <w:pPr>
              <w:spacing w:after="0" w:line="240" w:lineRule="auto"/>
              <w:rPr>
                <w:rFonts w:ascii="Times New Roman" w:eastAsia="Times New Roman" w:hAnsi="Times New Roman"/>
                <w:b/>
                <w:bCs/>
                <w:color w:val="000000"/>
                <w:sz w:val="20"/>
                <w:szCs w:val="20"/>
                <w:lang w:eastAsia="pt-BR"/>
              </w:rPr>
            </w:pPr>
          </w:p>
        </w:tc>
        <w:tc>
          <w:tcPr>
            <w:tcW w:w="869" w:type="pct"/>
            <w:tcBorders>
              <w:top w:val="nil"/>
              <w:left w:val="nil"/>
              <w:bottom w:val="single" w:sz="4" w:space="0" w:color="auto"/>
              <w:right w:val="single" w:sz="4" w:space="0" w:color="auto"/>
            </w:tcBorders>
            <w:shd w:val="clear" w:color="auto" w:fill="auto"/>
            <w:noWrap/>
            <w:vAlign w:val="center"/>
            <w:hideMark/>
          </w:tcPr>
          <w:p w14:paraId="7E434575" w14:textId="77777777" w:rsidR="00A37B53" w:rsidRPr="00A37B53" w:rsidRDefault="00A37B53" w:rsidP="00A37B53">
            <w:pPr>
              <w:spacing w:after="0" w:line="240" w:lineRule="auto"/>
              <w:rPr>
                <w:rFonts w:ascii="Times New Roman" w:eastAsia="Times New Roman" w:hAnsi="Times New Roman"/>
                <w:color w:val="000000"/>
                <w:sz w:val="20"/>
                <w:szCs w:val="20"/>
              </w:rPr>
            </w:pPr>
            <w:r>
              <w:rPr>
                <w:rFonts w:ascii="Times New Roman" w:hAnsi="Times New Roman"/>
                <w:color w:val="000000"/>
                <w:sz w:val="20"/>
              </w:rPr>
              <w:t>Northeast</w:t>
            </w:r>
          </w:p>
        </w:tc>
        <w:tc>
          <w:tcPr>
            <w:tcW w:w="647" w:type="pct"/>
            <w:tcBorders>
              <w:top w:val="single" w:sz="4" w:space="0" w:color="auto"/>
              <w:left w:val="single" w:sz="4" w:space="0" w:color="auto"/>
              <w:bottom w:val="single" w:sz="4" w:space="0" w:color="auto"/>
              <w:right w:val="single" w:sz="4" w:space="0" w:color="auto"/>
            </w:tcBorders>
            <w:shd w:val="clear" w:color="000000" w:fill="FBFCFF"/>
            <w:noWrap/>
            <w:vAlign w:val="center"/>
            <w:hideMark/>
          </w:tcPr>
          <w:p w14:paraId="75CCA159" w14:textId="77777777" w:rsidR="00A37B53" w:rsidRPr="00A37B53" w:rsidRDefault="00A37B53" w:rsidP="00A37B53">
            <w:pPr>
              <w:spacing w:after="0" w:line="240" w:lineRule="auto"/>
              <w:jc w:val="center"/>
              <w:rPr>
                <w:rFonts w:ascii="Times New Roman" w:eastAsia="Times New Roman" w:hAnsi="Times New Roman"/>
                <w:color w:val="000000"/>
                <w:sz w:val="20"/>
                <w:szCs w:val="20"/>
              </w:rPr>
            </w:pPr>
            <w:r>
              <w:rPr>
                <w:rFonts w:ascii="Times New Roman" w:hAnsi="Times New Roman"/>
                <w:color w:val="000000"/>
                <w:sz w:val="20"/>
              </w:rPr>
              <w:t>1.9</w:t>
            </w:r>
          </w:p>
        </w:tc>
        <w:tc>
          <w:tcPr>
            <w:tcW w:w="647" w:type="pct"/>
            <w:tcBorders>
              <w:top w:val="single" w:sz="4" w:space="0" w:color="auto"/>
              <w:left w:val="single" w:sz="4" w:space="0" w:color="auto"/>
              <w:bottom w:val="single" w:sz="4" w:space="0" w:color="auto"/>
              <w:right w:val="single" w:sz="4" w:space="0" w:color="auto"/>
            </w:tcBorders>
            <w:shd w:val="clear" w:color="000000" w:fill="83CB97"/>
            <w:noWrap/>
            <w:vAlign w:val="center"/>
            <w:hideMark/>
          </w:tcPr>
          <w:p w14:paraId="4656B94F" w14:textId="77777777" w:rsidR="00A37B53" w:rsidRPr="00A37B53" w:rsidRDefault="00A37B53" w:rsidP="00A37B53">
            <w:pPr>
              <w:spacing w:after="0" w:line="240" w:lineRule="auto"/>
              <w:jc w:val="center"/>
              <w:rPr>
                <w:rFonts w:ascii="Times New Roman" w:eastAsia="Times New Roman" w:hAnsi="Times New Roman"/>
                <w:color w:val="000000"/>
                <w:sz w:val="20"/>
                <w:szCs w:val="20"/>
              </w:rPr>
            </w:pPr>
            <w:r>
              <w:rPr>
                <w:rFonts w:ascii="Times New Roman" w:hAnsi="Times New Roman"/>
                <w:color w:val="000000"/>
                <w:sz w:val="20"/>
              </w:rPr>
              <w:t>49.5</w:t>
            </w:r>
          </w:p>
        </w:tc>
        <w:tc>
          <w:tcPr>
            <w:tcW w:w="647" w:type="pct"/>
            <w:tcBorders>
              <w:top w:val="single" w:sz="4" w:space="0" w:color="auto"/>
              <w:left w:val="single" w:sz="4" w:space="0" w:color="auto"/>
              <w:bottom w:val="single" w:sz="4" w:space="0" w:color="auto"/>
              <w:right w:val="single" w:sz="4" w:space="0" w:color="auto"/>
            </w:tcBorders>
            <w:shd w:val="clear" w:color="000000" w:fill="FBFCFE"/>
            <w:noWrap/>
            <w:vAlign w:val="center"/>
            <w:hideMark/>
          </w:tcPr>
          <w:p w14:paraId="080FEDC9" w14:textId="77777777" w:rsidR="00A37B53" w:rsidRPr="00A37B53" w:rsidRDefault="00A37B53" w:rsidP="00A37B53">
            <w:pPr>
              <w:spacing w:after="0" w:line="240" w:lineRule="auto"/>
              <w:jc w:val="center"/>
              <w:rPr>
                <w:rFonts w:ascii="Times New Roman" w:eastAsia="Times New Roman" w:hAnsi="Times New Roman"/>
                <w:color w:val="000000"/>
                <w:sz w:val="20"/>
                <w:szCs w:val="20"/>
              </w:rPr>
            </w:pPr>
            <w:r>
              <w:rPr>
                <w:rFonts w:ascii="Times New Roman" w:hAnsi="Times New Roman"/>
                <w:color w:val="000000"/>
                <w:sz w:val="20"/>
              </w:rPr>
              <w:t>2.1</w:t>
            </w:r>
          </w:p>
        </w:tc>
        <w:tc>
          <w:tcPr>
            <w:tcW w:w="647" w:type="pct"/>
            <w:tcBorders>
              <w:top w:val="single" w:sz="4" w:space="0" w:color="auto"/>
              <w:left w:val="single" w:sz="4" w:space="0" w:color="auto"/>
              <w:bottom w:val="single" w:sz="4" w:space="0" w:color="auto"/>
              <w:right w:val="single" w:sz="4" w:space="0" w:color="auto"/>
            </w:tcBorders>
            <w:shd w:val="clear" w:color="000000" w:fill="FBFCFE"/>
            <w:noWrap/>
            <w:vAlign w:val="center"/>
            <w:hideMark/>
          </w:tcPr>
          <w:p w14:paraId="6621E294" w14:textId="77777777" w:rsidR="00A37B53" w:rsidRPr="00A37B53" w:rsidRDefault="00A37B53" w:rsidP="00A37B53">
            <w:pPr>
              <w:spacing w:after="0" w:line="240" w:lineRule="auto"/>
              <w:jc w:val="center"/>
              <w:rPr>
                <w:rFonts w:ascii="Times New Roman" w:eastAsia="Times New Roman" w:hAnsi="Times New Roman"/>
                <w:color w:val="000000"/>
                <w:sz w:val="20"/>
                <w:szCs w:val="20"/>
              </w:rPr>
            </w:pPr>
            <w:r>
              <w:rPr>
                <w:rFonts w:ascii="Times New Roman" w:hAnsi="Times New Roman"/>
                <w:color w:val="000000"/>
                <w:sz w:val="20"/>
              </w:rPr>
              <w:t>2.2</w:t>
            </w:r>
          </w:p>
        </w:tc>
        <w:tc>
          <w:tcPr>
            <w:tcW w:w="647" w:type="pct"/>
            <w:tcBorders>
              <w:top w:val="single" w:sz="4" w:space="0" w:color="auto"/>
              <w:left w:val="single" w:sz="4" w:space="0" w:color="auto"/>
              <w:bottom w:val="single" w:sz="4" w:space="0" w:color="auto"/>
              <w:right w:val="nil"/>
            </w:tcBorders>
            <w:shd w:val="clear" w:color="000000" w:fill="FBFCFF"/>
            <w:noWrap/>
            <w:vAlign w:val="center"/>
            <w:hideMark/>
          </w:tcPr>
          <w:p w14:paraId="3CFE2833" w14:textId="77777777" w:rsidR="00A37B53" w:rsidRPr="00A37B53" w:rsidRDefault="00A37B53" w:rsidP="00A37B53">
            <w:pPr>
              <w:spacing w:after="0" w:line="240" w:lineRule="auto"/>
              <w:jc w:val="center"/>
              <w:rPr>
                <w:rFonts w:ascii="Times New Roman" w:eastAsia="Times New Roman" w:hAnsi="Times New Roman"/>
                <w:color w:val="000000"/>
                <w:sz w:val="20"/>
                <w:szCs w:val="20"/>
              </w:rPr>
            </w:pPr>
            <w:r>
              <w:rPr>
                <w:rFonts w:ascii="Times New Roman" w:hAnsi="Times New Roman"/>
                <w:color w:val="000000"/>
                <w:sz w:val="20"/>
              </w:rPr>
              <w:t>2.0</w:t>
            </w:r>
          </w:p>
        </w:tc>
      </w:tr>
      <w:tr w:rsidR="00A37B53" w:rsidRPr="00A37B53" w14:paraId="43478972" w14:textId="77777777" w:rsidTr="00385866">
        <w:trPr>
          <w:cantSplit/>
          <w:trHeight w:val="180"/>
          <w:jc w:val="center"/>
        </w:trPr>
        <w:tc>
          <w:tcPr>
            <w:tcW w:w="896" w:type="pct"/>
            <w:vMerge/>
            <w:tcBorders>
              <w:top w:val="nil"/>
              <w:left w:val="nil"/>
              <w:bottom w:val="double" w:sz="6" w:space="0" w:color="000000"/>
              <w:right w:val="single" w:sz="4" w:space="0" w:color="auto"/>
            </w:tcBorders>
            <w:vAlign w:val="center"/>
            <w:hideMark/>
          </w:tcPr>
          <w:p w14:paraId="5A05C4F3" w14:textId="77777777" w:rsidR="00A37B53" w:rsidRPr="00A37B53" w:rsidRDefault="00A37B53" w:rsidP="00A37B53">
            <w:pPr>
              <w:spacing w:after="0" w:line="240" w:lineRule="auto"/>
              <w:rPr>
                <w:rFonts w:ascii="Times New Roman" w:eastAsia="Times New Roman" w:hAnsi="Times New Roman"/>
                <w:b/>
                <w:bCs/>
                <w:color w:val="000000"/>
                <w:sz w:val="20"/>
                <w:szCs w:val="20"/>
                <w:lang w:eastAsia="pt-BR"/>
              </w:rPr>
            </w:pPr>
          </w:p>
        </w:tc>
        <w:tc>
          <w:tcPr>
            <w:tcW w:w="869" w:type="pct"/>
            <w:tcBorders>
              <w:top w:val="nil"/>
              <w:left w:val="nil"/>
              <w:bottom w:val="single" w:sz="4" w:space="0" w:color="auto"/>
              <w:right w:val="single" w:sz="4" w:space="0" w:color="auto"/>
            </w:tcBorders>
            <w:shd w:val="clear" w:color="auto" w:fill="auto"/>
            <w:noWrap/>
            <w:vAlign w:val="center"/>
            <w:hideMark/>
          </w:tcPr>
          <w:p w14:paraId="2A618D8C" w14:textId="77777777" w:rsidR="00A37B53" w:rsidRPr="00A37B53" w:rsidRDefault="00A37B53" w:rsidP="00A37B53">
            <w:pPr>
              <w:spacing w:after="0" w:line="240" w:lineRule="auto"/>
              <w:rPr>
                <w:rFonts w:ascii="Times New Roman" w:eastAsia="Times New Roman" w:hAnsi="Times New Roman"/>
                <w:color w:val="000000"/>
                <w:sz w:val="20"/>
                <w:szCs w:val="20"/>
              </w:rPr>
            </w:pPr>
            <w:r>
              <w:rPr>
                <w:rFonts w:ascii="Times New Roman" w:hAnsi="Times New Roman"/>
                <w:color w:val="000000"/>
                <w:sz w:val="20"/>
              </w:rPr>
              <w:t>Southeast</w:t>
            </w:r>
          </w:p>
        </w:tc>
        <w:tc>
          <w:tcPr>
            <w:tcW w:w="647" w:type="pct"/>
            <w:tcBorders>
              <w:top w:val="single" w:sz="4" w:space="0" w:color="auto"/>
              <w:left w:val="single" w:sz="4" w:space="0" w:color="auto"/>
              <w:bottom w:val="single" w:sz="4" w:space="0" w:color="auto"/>
              <w:right w:val="single" w:sz="4" w:space="0" w:color="auto"/>
            </w:tcBorders>
            <w:shd w:val="clear" w:color="000000" w:fill="DCEFE3"/>
            <w:noWrap/>
            <w:vAlign w:val="center"/>
            <w:hideMark/>
          </w:tcPr>
          <w:p w14:paraId="7B800394" w14:textId="77777777" w:rsidR="00A37B53" w:rsidRPr="00A37B53" w:rsidRDefault="00A37B53" w:rsidP="00A37B53">
            <w:pPr>
              <w:spacing w:after="0" w:line="240" w:lineRule="auto"/>
              <w:jc w:val="center"/>
              <w:rPr>
                <w:rFonts w:ascii="Times New Roman" w:eastAsia="Times New Roman" w:hAnsi="Times New Roman"/>
                <w:color w:val="000000"/>
                <w:sz w:val="20"/>
                <w:szCs w:val="20"/>
              </w:rPr>
            </w:pPr>
            <w:r>
              <w:rPr>
                <w:rFonts w:ascii="Times New Roman" w:hAnsi="Times New Roman"/>
                <w:color w:val="000000"/>
                <w:sz w:val="20"/>
              </w:rPr>
              <w:t>14.5</w:t>
            </w:r>
          </w:p>
        </w:tc>
        <w:tc>
          <w:tcPr>
            <w:tcW w:w="647" w:type="pct"/>
            <w:tcBorders>
              <w:top w:val="single" w:sz="4" w:space="0" w:color="auto"/>
              <w:left w:val="single" w:sz="4" w:space="0" w:color="auto"/>
              <w:bottom w:val="single" w:sz="4" w:space="0" w:color="auto"/>
              <w:right w:val="single" w:sz="4" w:space="0" w:color="auto"/>
            </w:tcBorders>
            <w:shd w:val="clear" w:color="000000" w:fill="CBE8D5"/>
            <w:noWrap/>
            <w:vAlign w:val="center"/>
            <w:hideMark/>
          </w:tcPr>
          <w:p w14:paraId="79164F28" w14:textId="77777777" w:rsidR="00A37B53" w:rsidRPr="00A37B53" w:rsidRDefault="00A37B53" w:rsidP="00A37B53">
            <w:pPr>
              <w:spacing w:after="0" w:line="240" w:lineRule="auto"/>
              <w:jc w:val="center"/>
              <w:rPr>
                <w:rFonts w:ascii="Times New Roman" w:eastAsia="Times New Roman" w:hAnsi="Times New Roman"/>
                <w:color w:val="000000"/>
                <w:sz w:val="20"/>
                <w:szCs w:val="20"/>
              </w:rPr>
            </w:pPr>
            <w:r>
              <w:rPr>
                <w:rFonts w:ascii="Times New Roman" w:hAnsi="Times New Roman"/>
                <w:color w:val="000000"/>
                <w:sz w:val="20"/>
              </w:rPr>
              <w:t>21.2</w:t>
            </w:r>
          </w:p>
        </w:tc>
        <w:tc>
          <w:tcPr>
            <w:tcW w:w="647" w:type="pct"/>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67E79E40" w14:textId="77777777" w:rsidR="00A37B53" w:rsidRPr="00A37B53" w:rsidRDefault="00A37B53" w:rsidP="00A37B53">
            <w:pPr>
              <w:spacing w:after="0" w:line="240" w:lineRule="auto"/>
              <w:jc w:val="center"/>
              <w:rPr>
                <w:rFonts w:ascii="Times New Roman" w:eastAsia="Times New Roman" w:hAnsi="Times New Roman"/>
                <w:color w:val="000000"/>
                <w:sz w:val="20"/>
                <w:szCs w:val="20"/>
              </w:rPr>
            </w:pPr>
            <w:r>
              <w:rPr>
                <w:rFonts w:ascii="Times New Roman" w:hAnsi="Times New Roman"/>
                <w:color w:val="000000"/>
                <w:sz w:val="20"/>
              </w:rPr>
              <w:t>61.9</w:t>
            </w:r>
          </w:p>
        </w:tc>
        <w:tc>
          <w:tcPr>
            <w:tcW w:w="647" w:type="pct"/>
            <w:tcBorders>
              <w:top w:val="single" w:sz="4" w:space="0" w:color="auto"/>
              <w:left w:val="single" w:sz="4" w:space="0" w:color="auto"/>
              <w:bottom w:val="single" w:sz="4" w:space="0" w:color="auto"/>
              <w:right w:val="single" w:sz="4" w:space="0" w:color="auto"/>
            </w:tcBorders>
            <w:shd w:val="clear" w:color="000000" w:fill="CFEAD8"/>
            <w:noWrap/>
            <w:vAlign w:val="center"/>
            <w:hideMark/>
          </w:tcPr>
          <w:p w14:paraId="3BAEECAB" w14:textId="77777777" w:rsidR="00A37B53" w:rsidRPr="00A37B53" w:rsidRDefault="00A37B53" w:rsidP="00A37B53">
            <w:pPr>
              <w:spacing w:after="0" w:line="240" w:lineRule="auto"/>
              <w:jc w:val="center"/>
              <w:rPr>
                <w:rFonts w:ascii="Times New Roman" w:eastAsia="Times New Roman" w:hAnsi="Times New Roman"/>
                <w:color w:val="000000"/>
                <w:sz w:val="20"/>
                <w:szCs w:val="20"/>
              </w:rPr>
            </w:pPr>
            <w:r>
              <w:rPr>
                <w:rFonts w:ascii="Times New Roman" w:hAnsi="Times New Roman"/>
                <w:color w:val="000000"/>
                <w:sz w:val="20"/>
              </w:rPr>
              <w:t>19.4</w:t>
            </w:r>
          </w:p>
        </w:tc>
        <w:tc>
          <w:tcPr>
            <w:tcW w:w="647" w:type="pct"/>
            <w:tcBorders>
              <w:top w:val="single" w:sz="4" w:space="0" w:color="auto"/>
              <w:left w:val="single" w:sz="4" w:space="0" w:color="auto"/>
              <w:bottom w:val="single" w:sz="4" w:space="0" w:color="auto"/>
              <w:right w:val="nil"/>
            </w:tcBorders>
            <w:shd w:val="clear" w:color="000000" w:fill="D0EAD9"/>
            <w:noWrap/>
            <w:vAlign w:val="center"/>
            <w:hideMark/>
          </w:tcPr>
          <w:p w14:paraId="40BA39C8" w14:textId="77777777" w:rsidR="00A37B53" w:rsidRPr="00A37B53" w:rsidRDefault="00A37B53" w:rsidP="00A37B53">
            <w:pPr>
              <w:spacing w:after="0" w:line="240" w:lineRule="auto"/>
              <w:jc w:val="center"/>
              <w:rPr>
                <w:rFonts w:ascii="Times New Roman" w:eastAsia="Times New Roman" w:hAnsi="Times New Roman"/>
                <w:color w:val="000000"/>
                <w:sz w:val="20"/>
                <w:szCs w:val="20"/>
              </w:rPr>
            </w:pPr>
            <w:r>
              <w:rPr>
                <w:rFonts w:ascii="Times New Roman" w:hAnsi="Times New Roman"/>
                <w:color w:val="000000"/>
                <w:sz w:val="20"/>
              </w:rPr>
              <w:t>19.2</w:t>
            </w:r>
          </w:p>
        </w:tc>
      </w:tr>
      <w:tr w:rsidR="00A37B53" w:rsidRPr="00A37B53" w14:paraId="113CCA52" w14:textId="77777777" w:rsidTr="00385866">
        <w:trPr>
          <w:cantSplit/>
          <w:trHeight w:val="180"/>
          <w:jc w:val="center"/>
        </w:trPr>
        <w:tc>
          <w:tcPr>
            <w:tcW w:w="896" w:type="pct"/>
            <w:vMerge/>
            <w:tcBorders>
              <w:top w:val="nil"/>
              <w:left w:val="nil"/>
              <w:bottom w:val="double" w:sz="6" w:space="0" w:color="000000"/>
              <w:right w:val="single" w:sz="4" w:space="0" w:color="auto"/>
            </w:tcBorders>
            <w:vAlign w:val="center"/>
            <w:hideMark/>
          </w:tcPr>
          <w:p w14:paraId="2A70A173" w14:textId="77777777" w:rsidR="00A37B53" w:rsidRPr="00A37B53" w:rsidRDefault="00A37B53" w:rsidP="00A37B53">
            <w:pPr>
              <w:spacing w:after="0" w:line="240" w:lineRule="auto"/>
              <w:rPr>
                <w:rFonts w:ascii="Times New Roman" w:eastAsia="Times New Roman" w:hAnsi="Times New Roman"/>
                <w:b/>
                <w:bCs/>
                <w:color w:val="000000"/>
                <w:sz w:val="20"/>
                <w:szCs w:val="20"/>
                <w:lang w:eastAsia="pt-BR"/>
              </w:rPr>
            </w:pPr>
          </w:p>
        </w:tc>
        <w:tc>
          <w:tcPr>
            <w:tcW w:w="869" w:type="pct"/>
            <w:tcBorders>
              <w:top w:val="nil"/>
              <w:left w:val="nil"/>
              <w:bottom w:val="single" w:sz="4" w:space="0" w:color="auto"/>
              <w:right w:val="single" w:sz="4" w:space="0" w:color="auto"/>
            </w:tcBorders>
            <w:shd w:val="clear" w:color="auto" w:fill="auto"/>
            <w:noWrap/>
            <w:vAlign w:val="center"/>
            <w:hideMark/>
          </w:tcPr>
          <w:p w14:paraId="3DEE73BF" w14:textId="77777777" w:rsidR="00A37B53" w:rsidRPr="00A37B53" w:rsidRDefault="00A37B53" w:rsidP="00A37B53">
            <w:pPr>
              <w:spacing w:after="0" w:line="240" w:lineRule="auto"/>
              <w:rPr>
                <w:rFonts w:ascii="Times New Roman" w:eastAsia="Times New Roman" w:hAnsi="Times New Roman"/>
                <w:color w:val="000000"/>
                <w:sz w:val="20"/>
                <w:szCs w:val="20"/>
              </w:rPr>
            </w:pPr>
            <w:r>
              <w:rPr>
                <w:rFonts w:ascii="Times New Roman" w:hAnsi="Times New Roman"/>
                <w:color w:val="000000"/>
                <w:sz w:val="20"/>
              </w:rPr>
              <w:t>South</w:t>
            </w:r>
          </w:p>
        </w:tc>
        <w:tc>
          <w:tcPr>
            <w:tcW w:w="647" w:type="pct"/>
            <w:tcBorders>
              <w:top w:val="single" w:sz="4" w:space="0" w:color="auto"/>
              <w:left w:val="single" w:sz="4" w:space="0" w:color="auto"/>
              <w:bottom w:val="single" w:sz="4" w:space="0" w:color="auto"/>
              <w:right w:val="single" w:sz="4" w:space="0" w:color="auto"/>
            </w:tcBorders>
            <w:shd w:val="clear" w:color="000000" w:fill="FCFCFF"/>
            <w:noWrap/>
            <w:vAlign w:val="center"/>
            <w:hideMark/>
          </w:tcPr>
          <w:p w14:paraId="7FDB3E59" w14:textId="77777777" w:rsidR="00A37B53" w:rsidRPr="00A37B53" w:rsidRDefault="00A37B53" w:rsidP="00A37B53">
            <w:pPr>
              <w:spacing w:after="0" w:line="240" w:lineRule="auto"/>
              <w:jc w:val="center"/>
              <w:rPr>
                <w:rFonts w:ascii="Times New Roman" w:eastAsia="Times New Roman" w:hAnsi="Times New Roman"/>
                <w:color w:val="000000"/>
                <w:sz w:val="20"/>
                <w:szCs w:val="20"/>
              </w:rPr>
            </w:pPr>
            <w:r>
              <w:rPr>
                <w:rFonts w:ascii="Times New Roman" w:hAnsi="Times New Roman"/>
                <w:color w:val="000000"/>
                <w:sz w:val="20"/>
              </w:rPr>
              <w:t>1.5</w:t>
            </w:r>
          </w:p>
        </w:tc>
        <w:tc>
          <w:tcPr>
            <w:tcW w:w="647" w:type="pct"/>
            <w:tcBorders>
              <w:top w:val="single" w:sz="4" w:space="0" w:color="auto"/>
              <w:left w:val="single" w:sz="4" w:space="0" w:color="auto"/>
              <w:bottom w:val="single" w:sz="4" w:space="0" w:color="auto"/>
              <w:right w:val="single" w:sz="4" w:space="0" w:color="auto"/>
            </w:tcBorders>
            <w:shd w:val="clear" w:color="000000" w:fill="FBFCFE"/>
            <w:noWrap/>
            <w:vAlign w:val="center"/>
            <w:hideMark/>
          </w:tcPr>
          <w:p w14:paraId="18F3E5FA" w14:textId="77777777" w:rsidR="00A37B53" w:rsidRPr="00A37B53" w:rsidRDefault="00A37B53" w:rsidP="00A37B53">
            <w:pPr>
              <w:spacing w:after="0" w:line="240" w:lineRule="auto"/>
              <w:jc w:val="center"/>
              <w:rPr>
                <w:rFonts w:ascii="Times New Roman" w:eastAsia="Times New Roman" w:hAnsi="Times New Roman"/>
                <w:color w:val="000000"/>
                <w:sz w:val="20"/>
                <w:szCs w:val="20"/>
              </w:rPr>
            </w:pPr>
            <w:r>
              <w:rPr>
                <w:rFonts w:ascii="Times New Roman" w:hAnsi="Times New Roman"/>
                <w:color w:val="000000"/>
                <w:sz w:val="20"/>
              </w:rPr>
              <w:t>2.1</w:t>
            </w:r>
          </w:p>
        </w:tc>
        <w:tc>
          <w:tcPr>
            <w:tcW w:w="647" w:type="pct"/>
            <w:tcBorders>
              <w:top w:val="single" w:sz="4" w:space="0" w:color="auto"/>
              <w:left w:val="single" w:sz="4" w:space="0" w:color="auto"/>
              <w:bottom w:val="single" w:sz="4" w:space="0" w:color="auto"/>
              <w:right w:val="single" w:sz="4" w:space="0" w:color="auto"/>
            </w:tcBorders>
            <w:shd w:val="clear" w:color="000000" w:fill="F8FBFC"/>
            <w:noWrap/>
            <w:vAlign w:val="center"/>
            <w:hideMark/>
          </w:tcPr>
          <w:p w14:paraId="5FCA7538" w14:textId="77777777" w:rsidR="00A37B53" w:rsidRPr="00A37B53" w:rsidRDefault="00A37B53" w:rsidP="00A37B53">
            <w:pPr>
              <w:spacing w:after="0" w:line="240" w:lineRule="auto"/>
              <w:jc w:val="center"/>
              <w:rPr>
                <w:rFonts w:ascii="Times New Roman" w:eastAsia="Times New Roman" w:hAnsi="Times New Roman"/>
                <w:color w:val="000000"/>
                <w:sz w:val="20"/>
                <w:szCs w:val="20"/>
              </w:rPr>
            </w:pPr>
            <w:r>
              <w:rPr>
                <w:rFonts w:ascii="Times New Roman" w:hAnsi="Times New Roman"/>
                <w:color w:val="000000"/>
                <w:sz w:val="20"/>
              </w:rPr>
              <w:t>3.3</w:t>
            </w:r>
          </w:p>
        </w:tc>
        <w:tc>
          <w:tcPr>
            <w:tcW w:w="647" w:type="pct"/>
            <w:tcBorders>
              <w:top w:val="single" w:sz="4" w:space="0" w:color="auto"/>
              <w:left w:val="single" w:sz="4" w:space="0" w:color="auto"/>
              <w:bottom w:val="single" w:sz="4" w:space="0" w:color="auto"/>
              <w:right w:val="single" w:sz="4" w:space="0" w:color="auto"/>
            </w:tcBorders>
            <w:shd w:val="clear" w:color="000000" w:fill="95D2A6"/>
            <w:noWrap/>
            <w:vAlign w:val="center"/>
            <w:hideMark/>
          </w:tcPr>
          <w:p w14:paraId="74FFD788" w14:textId="77777777" w:rsidR="00A37B53" w:rsidRPr="00A37B53" w:rsidRDefault="00A37B53" w:rsidP="00A37B53">
            <w:pPr>
              <w:spacing w:after="0" w:line="240" w:lineRule="auto"/>
              <w:jc w:val="center"/>
              <w:rPr>
                <w:rFonts w:ascii="Times New Roman" w:eastAsia="Times New Roman" w:hAnsi="Times New Roman"/>
                <w:color w:val="000000"/>
                <w:sz w:val="20"/>
                <w:szCs w:val="20"/>
              </w:rPr>
            </w:pPr>
            <w:r>
              <w:rPr>
                <w:rFonts w:ascii="Times New Roman" w:hAnsi="Times New Roman"/>
                <w:color w:val="000000"/>
                <w:sz w:val="20"/>
              </w:rPr>
              <w:t>42.4</w:t>
            </w:r>
          </w:p>
        </w:tc>
        <w:tc>
          <w:tcPr>
            <w:tcW w:w="647" w:type="pct"/>
            <w:tcBorders>
              <w:top w:val="single" w:sz="4" w:space="0" w:color="auto"/>
              <w:left w:val="single" w:sz="4" w:space="0" w:color="auto"/>
              <w:bottom w:val="single" w:sz="4" w:space="0" w:color="auto"/>
              <w:right w:val="nil"/>
            </w:tcBorders>
            <w:shd w:val="clear" w:color="000000" w:fill="FBFCFF"/>
            <w:noWrap/>
            <w:vAlign w:val="center"/>
            <w:hideMark/>
          </w:tcPr>
          <w:p w14:paraId="15FC75B8" w14:textId="77777777" w:rsidR="00A37B53" w:rsidRPr="00A37B53" w:rsidRDefault="00A37B53" w:rsidP="00A37B53">
            <w:pPr>
              <w:spacing w:after="0" w:line="240" w:lineRule="auto"/>
              <w:jc w:val="center"/>
              <w:rPr>
                <w:rFonts w:ascii="Times New Roman" w:eastAsia="Times New Roman" w:hAnsi="Times New Roman"/>
                <w:color w:val="000000"/>
                <w:sz w:val="20"/>
                <w:szCs w:val="20"/>
              </w:rPr>
            </w:pPr>
            <w:r>
              <w:rPr>
                <w:rFonts w:ascii="Times New Roman" w:hAnsi="Times New Roman"/>
                <w:color w:val="000000"/>
                <w:sz w:val="20"/>
              </w:rPr>
              <w:t>1.9</w:t>
            </w:r>
          </w:p>
        </w:tc>
      </w:tr>
      <w:tr w:rsidR="00A37B53" w:rsidRPr="00A37B53" w14:paraId="72040AB0" w14:textId="77777777" w:rsidTr="00385866">
        <w:trPr>
          <w:cantSplit/>
          <w:trHeight w:val="180"/>
          <w:jc w:val="center"/>
        </w:trPr>
        <w:tc>
          <w:tcPr>
            <w:tcW w:w="896" w:type="pct"/>
            <w:vMerge/>
            <w:tcBorders>
              <w:top w:val="nil"/>
              <w:left w:val="nil"/>
              <w:bottom w:val="double" w:sz="6" w:space="0" w:color="000000"/>
              <w:right w:val="single" w:sz="4" w:space="0" w:color="auto"/>
            </w:tcBorders>
            <w:vAlign w:val="center"/>
            <w:hideMark/>
          </w:tcPr>
          <w:p w14:paraId="642A6149" w14:textId="77777777" w:rsidR="00A37B53" w:rsidRPr="00A37B53" w:rsidRDefault="00A37B53" w:rsidP="00A37B53">
            <w:pPr>
              <w:spacing w:after="0" w:line="240" w:lineRule="auto"/>
              <w:rPr>
                <w:rFonts w:ascii="Times New Roman" w:eastAsia="Times New Roman" w:hAnsi="Times New Roman"/>
                <w:b/>
                <w:bCs/>
                <w:color w:val="000000"/>
                <w:sz w:val="20"/>
                <w:szCs w:val="20"/>
                <w:lang w:eastAsia="pt-BR"/>
              </w:rPr>
            </w:pPr>
          </w:p>
        </w:tc>
        <w:tc>
          <w:tcPr>
            <w:tcW w:w="869" w:type="pct"/>
            <w:tcBorders>
              <w:top w:val="nil"/>
              <w:left w:val="nil"/>
              <w:bottom w:val="single" w:sz="4" w:space="0" w:color="auto"/>
              <w:right w:val="single" w:sz="4" w:space="0" w:color="auto"/>
            </w:tcBorders>
            <w:shd w:val="clear" w:color="auto" w:fill="auto"/>
            <w:noWrap/>
            <w:vAlign w:val="center"/>
            <w:hideMark/>
          </w:tcPr>
          <w:p w14:paraId="48E321E2" w14:textId="7BE62EFF" w:rsidR="00A37B53" w:rsidRPr="00A37B53" w:rsidRDefault="00C03EC0" w:rsidP="00A37B53">
            <w:pPr>
              <w:spacing w:after="0" w:line="240" w:lineRule="auto"/>
              <w:rPr>
                <w:rFonts w:ascii="Times New Roman" w:eastAsia="Times New Roman" w:hAnsi="Times New Roman"/>
                <w:color w:val="000000"/>
                <w:sz w:val="20"/>
                <w:szCs w:val="20"/>
              </w:rPr>
            </w:pPr>
            <w:r>
              <w:rPr>
                <w:rFonts w:ascii="Times New Roman" w:hAnsi="Times New Roman"/>
                <w:color w:val="000000"/>
                <w:sz w:val="20"/>
              </w:rPr>
              <w:t>Midwest</w:t>
            </w:r>
          </w:p>
        </w:tc>
        <w:tc>
          <w:tcPr>
            <w:tcW w:w="647" w:type="pct"/>
            <w:tcBorders>
              <w:top w:val="single" w:sz="4" w:space="0" w:color="auto"/>
              <w:left w:val="single" w:sz="4" w:space="0" w:color="auto"/>
              <w:bottom w:val="single" w:sz="4" w:space="0" w:color="auto"/>
              <w:right w:val="single" w:sz="4" w:space="0" w:color="auto"/>
            </w:tcBorders>
            <w:shd w:val="clear" w:color="000000" w:fill="FBFCFE"/>
            <w:noWrap/>
            <w:vAlign w:val="center"/>
            <w:hideMark/>
          </w:tcPr>
          <w:p w14:paraId="4C97B850" w14:textId="77777777" w:rsidR="00A37B53" w:rsidRPr="00A37B53" w:rsidRDefault="00A37B53" w:rsidP="00A37B53">
            <w:pPr>
              <w:spacing w:after="0" w:line="240" w:lineRule="auto"/>
              <w:jc w:val="center"/>
              <w:rPr>
                <w:rFonts w:ascii="Times New Roman" w:eastAsia="Times New Roman" w:hAnsi="Times New Roman"/>
                <w:color w:val="000000"/>
                <w:sz w:val="20"/>
                <w:szCs w:val="20"/>
              </w:rPr>
            </w:pPr>
            <w:r>
              <w:rPr>
                <w:rFonts w:ascii="Times New Roman" w:hAnsi="Times New Roman"/>
                <w:color w:val="000000"/>
                <w:sz w:val="20"/>
              </w:rPr>
              <w:t>2.3</w:t>
            </w:r>
          </w:p>
        </w:tc>
        <w:tc>
          <w:tcPr>
            <w:tcW w:w="647" w:type="pct"/>
            <w:tcBorders>
              <w:top w:val="single" w:sz="4" w:space="0" w:color="auto"/>
              <w:left w:val="single" w:sz="4" w:space="0" w:color="auto"/>
              <w:bottom w:val="single" w:sz="4" w:space="0" w:color="auto"/>
              <w:right w:val="single" w:sz="4" w:space="0" w:color="auto"/>
            </w:tcBorders>
            <w:shd w:val="clear" w:color="000000" w:fill="F9FBFC"/>
            <w:noWrap/>
            <w:vAlign w:val="center"/>
            <w:hideMark/>
          </w:tcPr>
          <w:p w14:paraId="7386AD66" w14:textId="77777777" w:rsidR="00A37B53" w:rsidRPr="00A37B53" w:rsidRDefault="00A37B53" w:rsidP="00A37B53">
            <w:pPr>
              <w:spacing w:after="0" w:line="240" w:lineRule="auto"/>
              <w:jc w:val="center"/>
              <w:rPr>
                <w:rFonts w:ascii="Times New Roman" w:eastAsia="Times New Roman" w:hAnsi="Times New Roman"/>
                <w:color w:val="000000"/>
                <w:sz w:val="20"/>
                <w:szCs w:val="20"/>
              </w:rPr>
            </w:pPr>
            <w:r>
              <w:rPr>
                <w:rFonts w:ascii="Times New Roman" w:hAnsi="Times New Roman"/>
                <w:color w:val="000000"/>
                <w:sz w:val="20"/>
              </w:rPr>
              <w:t>3.0</w:t>
            </w:r>
          </w:p>
        </w:tc>
        <w:tc>
          <w:tcPr>
            <w:tcW w:w="647" w:type="pct"/>
            <w:tcBorders>
              <w:top w:val="single" w:sz="4" w:space="0" w:color="auto"/>
              <w:left w:val="single" w:sz="4" w:space="0" w:color="auto"/>
              <w:bottom w:val="single" w:sz="4" w:space="0" w:color="auto"/>
              <w:right w:val="single" w:sz="4" w:space="0" w:color="auto"/>
            </w:tcBorders>
            <w:shd w:val="clear" w:color="000000" w:fill="FAFCFE"/>
            <w:noWrap/>
            <w:vAlign w:val="center"/>
            <w:hideMark/>
          </w:tcPr>
          <w:p w14:paraId="10B7282E" w14:textId="77777777" w:rsidR="00A37B53" w:rsidRPr="00A37B53" w:rsidRDefault="00A37B53" w:rsidP="00A37B53">
            <w:pPr>
              <w:spacing w:after="0" w:line="240" w:lineRule="auto"/>
              <w:jc w:val="center"/>
              <w:rPr>
                <w:rFonts w:ascii="Times New Roman" w:eastAsia="Times New Roman" w:hAnsi="Times New Roman"/>
                <w:color w:val="000000"/>
                <w:sz w:val="20"/>
                <w:szCs w:val="20"/>
              </w:rPr>
            </w:pPr>
            <w:r>
              <w:rPr>
                <w:rFonts w:ascii="Times New Roman" w:hAnsi="Times New Roman"/>
                <w:color w:val="000000"/>
                <w:sz w:val="20"/>
              </w:rPr>
              <w:t>2.4</w:t>
            </w:r>
          </w:p>
        </w:tc>
        <w:tc>
          <w:tcPr>
            <w:tcW w:w="647" w:type="pct"/>
            <w:tcBorders>
              <w:top w:val="single" w:sz="4" w:space="0" w:color="auto"/>
              <w:left w:val="single" w:sz="4" w:space="0" w:color="auto"/>
              <w:bottom w:val="single" w:sz="4" w:space="0" w:color="auto"/>
              <w:right w:val="single" w:sz="4" w:space="0" w:color="auto"/>
            </w:tcBorders>
            <w:shd w:val="clear" w:color="000000" w:fill="F8FBFB"/>
            <w:noWrap/>
            <w:vAlign w:val="center"/>
            <w:hideMark/>
          </w:tcPr>
          <w:p w14:paraId="5D8D2594" w14:textId="77777777" w:rsidR="00A37B53" w:rsidRPr="00A37B53" w:rsidRDefault="00A37B53" w:rsidP="00A37B53">
            <w:pPr>
              <w:spacing w:after="0" w:line="240" w:lineRule="auto"/>
              <w:jc w:val="center"/>
              <w:rPr>
                <w:rFonts w:ascii="Times New Roman" w:eastAsia="Times New Roman" w:hAnsi="Times New Roman"/>
                <w:color w:val="000000"/>
                <w:sz w:val="20"/>
                <w:szCs w:val="20"/>
              </w:rPr>
            </w:pPr>
            <w:r>
              <w:rPr>
                <w:rFonts w:ascii="Times New Roman" w:hAnsi="Times New Roman"/>
                <w:color w:val="000000"/>
                <w:sz w:val="20"/>
              </w:rPr>
              <w:t>3.4</w:t>
            </w:r>
          </w:p>
        </w:tc>
        <w:tc>
          <w:tcPr>
            <w:tcW w:w="647" w:type="pct"/>
            <w:tcBorders>
              <w:top w:val="single" w:sz="4" w:space="0" w:color="auto"/>
              <w:left w:val="single" w:sz="4" w:space="0" w:color="auto"/>
              <w:bottom w:val="single" w:sz="4" w:space="0" w:color="auto"/>
              <w:right w:val="nil"/>
            </w:tcBorders>
            <w:shd w:val="clear" w:color="000000" w:fill="A0D7AF"/>
            <w:noWrap/>
            <w:vAlign w:val="center"/>
            <w:hideMark/>
          </w:tcPr>
          <w:p w14:paraId="0AE799CD" w14:textId="77777777" w:rsidR="00A37B53" w:rsidRPr="00A37B53" w:rsidRDefault="00A37B53" w:rsidP="00A37B53">
            <w:pPr>
              <w:spacing w:after="0" w:line="240" w:lineRule="auto"/>
              <w:jc w:val="center"/>
              <w:rPr>
                <w:rFonts w:ascii="Times New Roman" w:eastAsia="Times New Roman" w:hAnsi="Times New Roman"/>
                <w:color w:val="000000"/>
                <w:sz w:val="20"/>
                <w:szCs w:val="20"/>
              </w:rPr>
            </w:pPr>
            <w:r>
              <w:rPr>
                <w:rFonts w:ascii="Times New Roman" w:hAnsi="Times New Roman"/>
                <w:color w:val="000000"/>
                <w:sz w:val="20"/>
              </w:rPr>
              <w:t>38.2</w:t>
            </w:r>
          </w:p>
        </w:tc>
      </w:tr>
      <w:tr w:rsidR="00A37B53" w:rsidRPr="00A37B53" w14:paraId="2406F6D7" w14:textId="77777777" w:rsidTr="00385866">
        <w:trPr>
          <w:cantSplit/>
          <w:trHeight w:val="180"/>
          <w:jc w:val="center"/>
        </w:trPr>
        <w:tc>
          <w:tcPr>
            <w:tcW w:w="896" w:type="pct"/>
            <w:vMerge/>
            <w:tcBorders>
              <w:top w:val="nil"/>
              <w:left w:val="nil"/>
              <w:bottom w:val="double" w:sz="6" w:space="0" w:color="000000"/>
              <w:right w:val="single" w:sz="4" w:space="0" w:color="auto"/>
            </w:tcBorders>
            <w:vAlign w:val="center"/>
            <w:hideMark/>
          </w:tcPr>
          <w:p w14:paraId="201AEB24" w14:textId="77777777" w:rsidR="00A37B53" w:rsidRPr="00A37B53" w:rsidRDefault="00A37B53" w:rsidP="00A37B53">
            <w:pPr>
              <w:spacing w:after="0" w:line="240" w:lineRule="auto"/>
              <w:rPr>
                <w:rFonts w:ascii="Times New Roman" w:eastAsia="Times New Roman" w:hAnsi="Times New Roman"/>
                <w:b/>
                <w:bCs/>
                <w:color w:val="000000"/>
                <w:sz w:val="20"/>
                <w:szCs w:val="20"/>
                <w:lang w:eastAsia="pt-BR"/>
              </w:rPr>
            </w:pPr>
          </w:p>
        </w:tc>
        <w:tc>
          <w:tcPr>
            <w:tcW w:w="869" w:type="pct"/>
            <w:tcBorders>
              <w:top w:val="nil"/>
              <w:left w:val="nil"/>
              <w:bottom w:val="double" w:sz="6" w:space="0" w:color="auto"/>
              <w:right w:val="single" w:sz="4" w:space="0" w:color="auto"/>
            </w:tcBorders>
            <w:shd w:val="clear" w:color="auto" w:fill="auto"/>
            <w:noWrap/>
            <w:vAlign w:val="center"/>
            <w:hideMark/>
          </w:tcPr>
          <w:p w14:paraId="43BB7874" w14:textId="77777777" w:rsidR="00A37B53" w:rsidRPr="00A37B53" w:rsidRDefault="00A37B53" w:rsidP="00A37B53">
            <w:pPr>
              <w:spacing w:after="0" w:line="240" w:lineRule="auto"/>
              <w:rPr>
                <w:rFonts w:ascii="Times New Roman" w:eastAsia="Times New Roman" w:hAnsi="Times New Roman"/>
                <w:b/>
                <w:bCs/>
                <w:color w:val="000000"/>
                <w:sz w:val="20"/>
                <w:szCs w:val="20"/>
              </w:rPr>
            </w:pPr>
            <w:r>
              <w:rPr>
                <w:rFonts w:ascii="Times New Roman" w:hAnsi="Times New Roman"/>
                <w:b/>
                <w:color w:val="000000"/>
                <w:sz w:val="20"/>
              </w:rPr>
              <w:t>Total</w:t>
            </w:r>
          </w:p>
        </w:tc>
        <w:tc>
          <w:tcPr>
            <w:tcW w:w="647" w:type="pct"/>
            <w:tcBorders>
              <w:top w:val="single" w:sz="4" w:space="0" w:color="auto"/>
              <w:left w:val="single" w:sz="4" w:space="0" w:color="auto"/>
              <w:bottom w:val="double" w:sz="6" w:space="0" w:color="auto"/>
              <w:right w:val="single" w:sz="4" w:space="0" w:color="auto"/>
            </w:tcBorders>
            <w:shd w:val="clear" w:color="000000" w:fill="D0EAD9"/>
            <w:noWrap/>
            <w:vAlign w:val="center"/>
            <w:hideMark/>
          </w:tcPr>
          <w:p w14:paraId="0A08D2B6" w14:textId="77777777" w:rsidR="00A37B53" w:rsidRPr="00A37B53" w:rsidRDefault="00A37B53" w:rsidP="00A37B53">
            <w:pPr>
              <w:spacing w:after="0" w:line="240" w:lineRule="auto"/>
              <w:jc w:val="center"/>
              <w:rPr>
                <w:rFonts w:ascii="Times New Roman" w:eastAsia="Times New Roman" w:hAnsi="Times New Roman"/>
                <w:b/>
                <w:bCs/>
                <w:color w:val="000000"/>
                <w:sz w:val="20"/>
                <w:szCs w:val="20"/>
              </w:rPr>
            </w:pPr>
            <w:r>
              <w:rPr>
                <w:rFonts w:ascii="Times New Roman" w:hAnsi="Times New Roman"/>
                <w:b/>
                <w:color w:val="000000"/>
                <w:sz w:val="20"/>
              </w:rPr>
              <w:t>68.3</w:t>
            </w:r>
          </w:p>
        </w:tc>
        <w:tc>
          <w:tcPr>
            <w:tcW w:w="647" w:type="pct"/>
            <w:tcBorders>
              <w:top w:val="single" w:sz="4" w:space="0" w:color="auto"/>
              <w:left w:val="single" w:sz="4" w:space="0" w:color="auto"/>
              <w:bottom w:val="double" w:sz="6" w:space="0" w:color="auto"/>
              <w:right w:val="single" w:sz="4" w:space="0" w:color="auto"/>
            </w:tcBorders>
            <w:shd w:val="clear" w:color="000000" w:fill="63BE7B"/>
            <w:noWrap/>
            <w:vAlign w:val="center"/>
            <w:hideMark/>
          </w:tcPr>
          <w:p w14:paraId="0F88380F" w14:textId="77777777" w:rsidR="00A37B53" w:rsidRPr="00A37B53" w:rsidRDefault="00A37B53" w:rsidP="00A37B53">
            <w:pPr>
              <w:spacing w:after="0" w:line="240" w:lineRule="auto"/>
              <w:jc w:val="center"/>
              <w:rPr>
                <w:rFonts w:ascii="Times New Roman" w:eastAsia="Times New Roman" w:hAnsi="Times New Roman"/>
                <w:b/>
                <w:bCs/>
                <w:color w:val="000000"/>
                <w:sz w:val="20"/>
                <w:szCs w:val="20"/>
              </w:rPr>
            </w:pPr>
            <w:r>
              <w:rPr>
                <w:rFonts w:ascii="Times New Roman" w:hAnsi="Times New Roman"/>
                <w:b/>
                <w:color w:val="000000"/>
                <w:sz w:val="20"/>
              </w:rPr>
              <w:t>79.0</w:t>
            </w:r>
          </w:p>
        </w:tc>
        <w:tc>
          <w:tcPr>
            <w:tcW w:w="647" w:type="pct"/>
            <w:tcBorders>
              <w:top w:val="single" w:sz="4" w:space="0" w:color="auto"/>
              <w:left w:val="single" w:sz="4" w:space="0" w:color="auto"/>
              <w:bottom w:val="double" w:sz="6" w:space="0" w:color="auto"/>
              <w:right w:val="single" w:sz="4" w:space="0" w:color="auto"/>
            </w:tcBorders>
            <w:shd w:val="clear" w:color="000000" w:fill="A5D9B4"/>
            <w:noWrap/>
            <w:vAlign w:val="center"/>
            <w:hideMark/>
          </w:tcPr>
          <w:p w14:paraId="77DB43CE" w14:textId="77777777" w:rsidR="00A37B53" w:rsidRPr="00A37B53" w:rsidRDefault="00A37B53" w:rsidP="00A37B53">
            <w:pPr>
              <w:spacing w:after="0" w:line="240" w:lineRule="auto"/>
              <w:jc w:val="center"/>
              <w:rPr>
                <w:rFonts w:ascii="Times New Roman" w:eastAsia="Times New Roman" w:hAnsi="Times New Roman"/>
                <w:b/>
                <w:bCs/>
                <w:color w:val="000000"/>
                <w:sz w:val="20"/>
                <w:szCs w:val="20"/>
              </w:rPr>
            </w:pPr>
            <w:r>
              <w:rPr>
                <w:rFonts w:ascii="Times New Roman" w:hAnsi="Times New Roman"/>
                <w:b/>
                <w:color w:val="000000"/>
                <w:sz w:val="20"/>
              </w:rPr>
              <w:t>72.5</w:t>
            </w:r>
          </w:p>
        </w:tc>
        <w:tc>
          <w:tcPr>
            <w:tcW w:w="647" w:type="pct"/>
            <w:tcBorders>
              <w:top w:val="single" w:sz="4" w:space="0" w:color="auto"/>
              <w:left w:val="single" w:sz="4" w:space="0" w:color="auto"/>
              <w:bottom w:val="double" w:sz="6" w:space="0" w:color="auto"/>
              <w:right w:val="single" w:sz="4" w:space="0" w:color="auto"/>
            </w:tcBorders>
            <w:shd w:val="clear" w:color="000000" w:fill="C4E6CF"/>
            <w:noWrap/>
            <w:vAlign w:val="center"/>
            <w:hideMark/>
          </w:tcPr>
          <w:p w14:paraId="31C5240F" w14:textId="77777777" w:rsidR="00A37B53" w:rsidRPr="00A37B53" w:rsidRDefault="00A37B53" w:rsidP="00A37B53">
            <w:pPr>
              <w:spacing w:after="0" w:line="240" w:lineRule="auto"/>
              <w:jc w:val="center"/>
              <w:rPr>
                <w:rFonts w:ascii="Times New Roman" w:eastAsia="Times New Roman" w:hAnsi="Times New Roman"/>
                <w:b/>
                <w:bCs/>
                <w:color w:val="000000"/>
                <w:sz w:val="20"/>
                <w:szCs w:val="20"/>
              </w:rPr>
            </w:pPr>
            <w:r>
              <w:rPr>
                <w:rFonts w:ascii="Times New Roman" w:hAnsi="Times New Roman"/>
                <w:b/>
                <w:color w:val="000000"/>
                <w:sz w:val="20"/>
              </w:rPr>
              <w:t>69.4</w:t>
            </w:r>
          </w:p>
        </w:tc>
        <w:tc>
          <w:tcPr>
            <w:tcW w:w="647" w:type="pct"/>
            <w:tcBorders>
              <w:top w:val="single" w:sz="4" w:space="0" w:color="auto"/>
              <w:left w:val="single" w:sz="4" w:space="0" w:color="auto"/>
              <w:bottom w:val="double" w:sz="6" w:space="0" w:color="auto"/>
              <w:right w:val="nil"/>
            </w:tcBorders>
            <w:shd w:val="clear" w:color="000000" w:fill="FCFCFF"/>
            <w:noWrap/>
            <w:vAlign w:val="center"/>
            <w:hideMark/>
          </w:tcPr>
          <w:p w14:paraId="73050E6A" w14:textId="77777777" w:rsidR="00A37B53" w:rsidRPr="00A37B53" w:rsidRDefault="00A37B53" w:rsidP="00A37B53">
            <w:pPr>
              <w:spacing w:after="0" w:line="240" w:lineRule="auto"/>
              <w:jc w:val="center"/>
              <w:rPr>
                <w:rFonts w:ascii="Times New Roman" w:eastAsia="Times New Roman" w:hAnsi="Times New Roman"/>
                <w:b/>
                <w:bCs/>
                <w:color w:val="000000"/>
                <w:sz w:val="20"/>
                <w:szCs w:val="20"/>
              </w:rPr>
            </w:pPr>
            <w:r>
              <w:rPr>
                <w:rFonts w:ascii="Times New Roman" w:hAnsi="Times New Roman"/>
                <w:b/>
                <w:color w:val="000000"/>
                <w:sz w:val="20"/>
              </w:rPr>
              <w:t>63.8</w:t>
            </w:r>
          </w:p>
        </w:tc>
      </w:tr>
    </w:tbl>
    <w:p w14:paraId="3A38532C" w14:textId="77777777" w:rsidR="00A37B53" w:rsidRPr="00A37B53" w:rsidRDefault="00A37B53" w:rsidP="00A37B53">
      <w:pPr>
        <w:autoSpaceDE w:val="0"/>
        <w:autoSpaceDN w:val="0"/>
        <w:adjustRightInd w:val="0"/>
        <w:spacing w:after="0" w:line="260" w:lineRule="atLeast"/>
        <w:jc w:val="center"/>
        <w:textAlignment w:val="center"/>
        <w:rPr>
          <w:rFonts w:ascii="Times New Roman" w:hAnsi="Times New Roman"/>
          <w:color w:val="000000"/>
          <w:sz w:val="18"/>
          <w:szCs w:val="18"/>
        </w:rPr>
      </w:pPr>
      <w:r>
        <w:rPr>
          <w:rFonts w:ascii="Times New Roman" w:hAnsi="Times New Roman"/>
          <w:color w:val="000000"/>
          <w:sz w:val="18"/>
        </w:rPr>
        <w:t>Source: Original work based on the 2013 Regional IOT.</w:t>
      </w:r>
    </w:p>
    <w:p w14:paraId="1DDB9A40" w14:textId="3697ED2D" w:rsidR="00A37B53" w:rsidRPr="00A37B53" w:rsidRDefault="00A37B53" w:rsidP="00A37B53">
      <w:pPr>
        <w:autoSpaceDE w:val="0"/>
        <w:autoSpaceDN w:val="0"/>
        <w:adjustRightInd w:val="0"/>
        <w:spacing w:after="0" w:line="260" w:lineRule="atLeast"/>
        <w:jc w:val="center"/>
        <w:textAlignment w:val="center"/>
        <w:rPr>
          <w:rFonts w:ascii="Times New Roman" w:hAnsi="Times New Roman"/>
          <w:color w:val="000000"/>
          <w:sz w:val="18"/>
          <w:szCs w:val="18"/>
        </w:rPr>
      </w:pPr>
      <w:r>
        <w:rPr>
          <w:rFonts w:ascii="Times New Roman" w:hAnsi="Times New Roman"/>
          <w:i/>
          <w:color w:val="000000"/>
          <w:sz w:val="18"/>
        </w:rPr>
        <w:t>Notes</w:t>
      </w:r>
      <w:r>
        <w:rPr>
          <w:rFonts w:ascii="Times New Roman" w:hAnsi="Times New Roman"/>
          <w:color w:val="000000"/>
          <w:sz w:val="18"/>
        </w:rPr>
        <w:t>: *</w:t>
      </w:r>
      <w:r w:rsidR="00FD318E">
        <w:rPr>
          <w:rFonts w:ascii="Times New Roman" w:hAnsi="Times New Roman"/>
          <w:color w:val="000000"/>
          <w:sz w:val="18"/>
        </w:rPr>
        <w:t>BRL</w:t>
      </w:r>
      <w:r>
        <w:rPr>
          <w:rFonts w:ascii="Times New Roman" w:hAnsi="Times New Roman"/>
          <w:color w:val="000000"/>
          <w:sz w:val="18"/>
        </w:rPr>
        <w:t xml:space="preserve"> million; **Number of </w:t>
      </w:r>
      <w:r w:rsidR="00F10DBA">
        <w:rPr>
          <w:rFonts w:ascii="Times New Roman" w:hAnsi="Times New Roman"/>
          <w:color w:val="000000"/>
          <w:sz w:val="18"/>
        </w:rPr>
        <w:t>jobs</w:t>
      </w:r>
      <w:r>
        <w:rPr>
          <w:rFonts w:ascii="Times New Roman" w:hAnsi="Times New Roman"/>
          <w:color w:val="000000"/>
          <w:sz w:val="18"/>
        </w:rPr>
        <w:t>.</w:t>
      </w:r>
    </w:p>
    <w:p w14:paraId="53384853" w14:textId="77777777" w:rsidR="004E5986" w:rsidRPr="004E5986" w:rsidRDefault="004E5986" w:rsidP="00A37B53">
      <w:pPr>
        <w:autoSpaceDE w:val="0"/>
        <w:autoSpaceDN w:val="0"/>
        <w:adjustRightInd w:val="0"/>
        <w:spacing w:before="60" w:after="60" w:line="240" w:lineRule="auto"/>
        <w:jc w:val="both"/>
        <w:textAlignment w:val="center"/>
        <w:rPr>
          <w:rFonts w:ascii="Times New Roman" w:hAnsi="Times New Roman" w:cs="Baramond"/>
          <w:color w:val="000000"/>
          <w:lang w:eastAsia="pt-BR"/>
        </w:rPr>
      </w:pPr>
    </w:p>
    <w:p w14:paraId="3C63FD7D" w14:textId="022F6EF5" w:rsidR="0010650D" w:rsidRPr="0010650D" w:rsidRDefault="0010650D" w:rsidP="0010650D">
      <w:pPr>
        <w:autoSpaceDE w:val="0"/>
        <w:autoSpaceDN w:val="0"/>
        <w:adjustRightInd w:val="0"/>
        <w:spacing w:before="60" w:after="60" w:line="240" w:lineRule="auto"/>
        <w:ind w:firstLine="567"/>
        <w:jc w:val="both"/>
        <w:textAlignment w:val="center"/>
        <w:rPr>
          <w:rFonts w:ascii="Times New Roman" w:hAnsi="Times New Roman" w:cs="Baramond"/>
          <w:color w:val="000000" w:themeColor="text1"/>
        </w:rPr>
      </w:pPr>
      <w:r>
        <w:rPr>
          <w:rFonts w:ascii="Times New Roman" w:hAnsi="Times New Roman"/>
          <w:color w:val="000000" w:themeColor="text1"/>
        </w:rPr>
        <w:t xml:space="preserve">As observed, isolated shocks of 10% of the GFCF of the electricity sector in each region produce very heterogeneous effects depending on the analyzed component. In terms of </w:t>
      </w:r>
      <w:r w:rsidR="002A5DA2">
        <w:rPr>
          <w:rFonts w:ascii="Times New Roman" w:hAnsi="Times New Roman"/>
          <w:color w:val="000000" w:themeColor="text1"/>
        </w:rPr>
        <w:t>value added</w:t>
      </w:r>
      <w:r>
        <w:rPr>
          <w:rFonts w:ascii="Times New Roman" w:hAnsi="Times New Roman"/>
          <w:color w:val="000000" w:themeColor="text1"/>
        </w:rPr>
        <w:t xml:space="preserve">, GOS and total income, the region with the greatest total impacts was the </w:t>
      </w:r>
      <w:r w:rsidR="00C03EC0">
        <w:rPr>
          <w:rFonts w:ascii="Times New Roman" w:hAnsi="Times New Roman"/>
          <w:color w:val="000000" w:themeColor="text1"/>
        </w:rPr>
        <w:t>Midwest</w:t>
      </w:r>
      <w:r>
        <w:rPr>
          <w:rFonts w:ascii="Times New Roman" w:hAnsi="Times New Roman"/>
          <w:color w:val="000000" w:themeColor="text1"/>
        </w:rPr>
        <w:t>, despite its electrical sector presenting the lowest production and final demands in the inter-regional matrix and the lowest generation capacity in TWh</w:t>
      </w:r>
      <w:r w:rsidR="00880184">
        <w:rPr>
          <w:rFonts w:ascii="Times New Roman" w:hAnsi="Times New Roman"/>
          <w:color w:val="000000" w:themeColor="text1"/>
        </w:rPr>
        <w:t xml:space="preserve"> (</w:t>
      </w:r>
      <w:r w:rsidR="000B20DA">
        <w:rPr>
          <w:rFonts w:ascii="Times New Roman" w:hAnsi="Times New Roman"/>
          <w:color w:val="000000" w:themeColor="text1"/>
        </w:rPr>
        <w:t>Brazil,</w:t>
      </w:r>
      <w:r w:rsidR="00880184">
        <w:rPr>
          <w:rFonts w:ascii="Times New Roman" w:hAnsi="Times New Roman"/>
          <w:color w:val="000000" w:themeColor="text1"/>
        </w:rPr>
        <w:t xml:space="preserve"> 2</w:t>
      </w:r>
      <w:r w:rsidR="000B20DA">
        <w:rPr>
          <w:rFonts w:ascii="Times New Roman" w:hAnsi="Times New Roman"/>
          <w:color w:val="000000" w:themeColor="text1"/>
        </w:rPr>
        <w:t>021</w:t>
      </w:r>
      <w:r w:rsidR="00880184">
        <w:rPr>
          <w:rFonts w:ascii="Times New Roman" w:hAnsi="Times New Roman"/>
          <w:color w:val="000000" w:themeColor="text1"/>
        </w:rPr>
        <w:t>)</w:t>
      </w:r>
      <w:r>
        <w:rPr>
          <w:rFonts w:ascii="Times New Roman" w:hAnsi="Times New Roman"/>
          <w:color w:val="000000" w:themeColor="text1"/>
        </w:rPr>
        <w:t>.</w:t>
      </w:r>
    </w:p>
    <w:p w14:paraId="630075B5" w14:textId="0CD699BD" w:rsidR="0010650D" w:rsidRPr="0010650D" w:rsidRDefault="0010650D" w:rsidP="0010650D">
      <w:pPr>
        <w:autoSpaceDE w:val="0"/>
        <w:autoSpaceDN w:val="0"/>
        <w:adjustRightInd w:val="0"/>
        <w:spacing w:before="60" w:after="60" w:line="240" w:lineRule="auto"/>
        <w:ind w:firstLine="567"/>
        <w:jc w:val="both"/>
        <w:textAlignment w:val="center"/>
        <w:rPr>
          <w:rFonts w:ascii="Times New Roman" w:hAnsi="Times New Roman" w:cs="Baramond"/>
          <w:i/>
          <w:iCs/>
          <w:color w:val="000000" w:themeColor="text1"/>
        </w:rPr>
      </w:pPr>
      <w:r>
        <w:rPr>
          <w:rFonts w:ascii="Times New Roman" w:hAnsi="Times New Roman"/>
          <w:color w:val="000000" w:themeColor="text1"/>
        </w:rPr>
        <w:t xml:space="preserve">Much of this result can be attributed to the fact that the simulated shock in the region generates a large amount of GOS for the </w:t>
      </w:r>
      <w:r w:rsidR="00C03EC0">
        <w:rPr>
          <w:rFonts w:ascii="Times New Roman" w:hAnsi="Times New Roman"/>
          <w:color w:val="000000" w:themeColor="text1"/>
        </w:rPr>
        <w:t>Midwest</w:t>
      </w:r>
      <w:r>
        <w:rPr>
          <w:rFonts w:ascii="Times New Roman" w:hAnsi="Times New Roman"/>
          <w:color w:val="000000" w:themeColor="text1"/>
        </w:rPr>
        <w:t xml:space="preserve"> electricity sector itself</w:t>
      </w:r>
      <w:r w:rsidRPr="0010650D">
        <w:rPr>
          <w:rFonts w:ascii="Times New Roman" w:hAnsi="Times New Roman" w:cs="Baramond"/>
          <w:color w:val="000000" w:themeColor="text1"/>
          <w:vertAlign w:val="superscript"/>
          <w:lang w:eastAsia="pt-BR"/>
        </w:rPr>
        <w:footnoteReference w:id="21"/>
      </w:r>
      <w:r>
        <w:rPr>
          <w:rFonts w:ascii="Times New Roman" w:hAnsi="Times New Roman"/>
          <w:color w:val="000000" w:themeColor="text1"/>
        </w:rPr>
        <w:t xml:space="preserve"> – </w:t>
      </w:r>
      <w:r w:rsidR="00FD318E">
        <w:rPr>
          <w:rFonts w:ascii="Times New Roman" w:hAnsi="Times New Roman"/>
          <w:color w:val="000000" w:themeColor="text1"/>
        </w:rPr>
        <w:t>BRL</w:t>
      </w:r>
      <w:r>
        <w:rPr>
          <w:rFonts w:ascii="Times New Roman" w:hAnsi="Times New Roman"/>
          <w:color w:val="000000" w:themeColor="text1"/>
        </w:rPr>
        <w:t xml:space="preserve"> 11.6 million (64.3% of the total). This value, among the five simulations, is second only to the one generated in the electricity sector in the North region (</w:t>
      </w:r>
      <w:r w:rsidR="00FD318E">
        <w:rPr>
          <w:rFonts w:ascii="Times New Roman" w:hAnsi="Times New Roman"/>
          <w:color w:val="000000" w:themeColor="text1"/>
        </w:rPr>
        <w:t>BRL</w:t>
      </w:r>
      <w:r>
        <w:rPr>
          <w:rFonts w:ascii="Times New Roman" w:hAnsi="Times New Roman"/>
          <w:color w:val="000000" w:themeColor="text1"/>
        </w:rPr>
        <w:t xml:space="preserve"> 11.8 million). However, in the inter-regional matrix, the electricity activity in the </w:t>
      </w:r>
      <w:r w:rsidR="00C03EC0">
        <w:rPr>
          <w:rFonts w:ascii="Times New Roman" w:hAnsi="Times New Roman"/>
          <w:color w:val="000000" w:themeColor="text1"/>
        </w:rPr>
        <w:t>Midwest</w:t>
      </w:r>
      <w:r>
        <w:rPr>
          <w:rFonts w:ascii="Times New Roman" w:hAnsi="Times New Roman"/>
          <w:color w:val="000000" w:themeColor="text1"/>
        </w:rPr>
        <w:t xml:space="preserve"> appears to have strong links with the electrical sector and with the oil and gas extraction industry in the Southeast, where </w:t>
      </w:r>
      <w:r w:rsidR="00FD318E">
        <w:rPr>
          <w:rFonts w:ascii="Times New Roman" w:hAnsi="Times New Roman"/>
          <w:color w:val="000000" w:themeColor="text1"/>
        </w:rPr>
        <w:t>BRL</w:t>
      </w:r>
      <w:r>
        <w:rPr>
          <w:rFonts w:ascii="Times New Roman" w:hAnsi="Times New Roman"/>
          <w:color w:val="000000" w:themeColor="text1"/>
        </w:rPr>
        <w:t xml:space="preserve"> 3.4 million in GOS are generated (20% of the total), which is the determining factor for the EOB generated in Brazil as a whole to exceed that of the region North.</w:t>
      </w:r>
    </w:p>
    <w:p w14:paraId="23B07DAB" w14:textId="3497F64C" w:rsidR="0010650D" w:rsidRPr="0010650D" w:rsidRDefault="0010650D" w:rsidP="0010650D">
      <w:pPr>
        <w:autoSpaceDE w:val="0"/>
        <w:autoSpaceDN w:val="0"/>
        <w:adjustRightInd w:val="0"/>
        <w:spacing w:before="60" w:after="60" w:line="240" w:lineRule="auto"/>
        <w:ind w:firstLine="567"/>
        <w:jc w:val="both"/>
        <w:textAlignment w:val="center"/>
        <w:rPr>
          <w:rFonts w:ascii="Times New Roman" w:hAnsi="Times New Roman" w:cs="Baramond"/>
          <w:color w:val="000000" w:themeColor="text1"/>
        </w:rPr>
      </w:pPr>
      <w:r>
        <w:rPr>
          <w:rFonts w:ascii="Times New Roman" w:hAnsi="Times New Roman"/>
          <w:color w:val="000000" w:themeColor="text1"/>
        </w:rPr>
        <w:t xml:space="preserve">Despite a </w:t>
      </w:r>
      <w:r w:rsidR="00FD318E">
        <w:rPr>
          <w:rFonts w:ascii="Times New Roman" w:hAnsi="Times New Roman"/>
          <w:color w:val="000000" w:themeColor="text1"/>
        </w:rPr>
        <w:t>high-income</w:t>
      </w:r>
      <w:r>
        <w:rPr>
          <w:rFonts w:ascii="Times New Roman" w:hAnsi="Times New Roman"/>
          <w:color w:val="000000" w:themeColor="text1"/>
        </w:rPr>
        <w:t xml:space="preserve"> generation capacity – which stems mainly from the GOSs mentioned above – the shock in the </w:t>
      </w:r>
      <w:r w:rsidR="00C03EC0">
        <w:rPr>
          <w:rFonts w:ascii="Times New Roman" w:hAnsi="Times New Roman"/>
          <w:color w:val="000000" w:themeColor="text1"/>
        </w:rPr>
        <w:t>Midwest</w:t>
      </w:r>
      <w:r>
        <w:rPr>
          <w:rFonts w:ascii="Times New Roman" w:hAnsi="Times New Roman"/>
          <w:color w:val="000000" w:themeColor="text1"/>
        </w:rPr>
        <w:t xml:space="preserve"> produces the smallest impact on production, considering both the economy as a whole and the effects retained in the region and in the regional electricity sector itself. In fact, in terms of energy generation, the central area of ​​the country is mainly composed of Small Hydroelectric Plants (SHP)</w:t>
      </w:r>
      <w:r w:rsidRPr="0010650D">
        <w:rPr>
          <w:rFonts w:ascii="Times New Roman" w:hAnsi="Times New Roman" w:cs="Baramond"/>
          <w:color w:val="000000" w:themeColor="text1"/>
          <w:vertAlign w:val="superscript"/>
          <w:lang w:eastAsia="pt-BR"/>
        </w:rPr>
        <w:footnoteReference w:id="22"/>
      </w:r>
      <w:r>
        <w:rPr>
          <w:rFonts w:ascii="Times New Roman" w:hAnsi="Times New Roman"/>
          <w:color w:val="000000" w:themeColor="text1"/>
        </w:rPr>
        <w:t xml:space="preserve"> </w:t>
      </w:r>
      <w:r w:rsidRPr="0010650D">
        <w:rPr>
          <w:rFonts w:ascii="Times New Roman" w:hAnsi="Times New Roman" w:cs="Baramond"/>
          <w:color w:val="000000" w:themeColor="text1"/>
        </w:rPr>
        <w:fldChar w:fldCharType="begin"/>
      </w:r>
      <w:r w:rsidRPr="0010650D">
        <w:rPr>
          <w:rFonts w:ascii="Times New Roman" w:hAnsi="Times New Roman" w:cs="Baramond"/>
          <w:color w:val="000000" w:themeColor="text1"/>
        </w:rPr>
        <w:instrText xml:space="preserve"> ADDIN ZOTERO_ITEM CSL_CITATION {"citationID":"1rXgQdzh","properties":{"formattedCitation":"(IBGE, 2016)","plainCitation":"(IBGE, 2016)","dontUpdate":true,"noteIndex":0},"citationItems":[{"id":58,"uris":["http://zotero.org/users/8767809/items/EPWCTF9M",["http://zotero.org/users/8767809/items/EPWCTF9M"]],"itemData":{"id":58,"type":"book","event-place":"Rio de Janeiro","number-of-pages":"100","publisher":"IBGE","publisher-place":"Rio de Janeiro","title":"Logística de Energia 2015: Redes e Fluxos de Energia","URL":"https://biblioteca.ibge.gov.br/index.php/biblioteca-catalogo?id=297260&amp;view=detalhes","author":[{"family":"IBGE","given":""}],"accessed":{"date-parts":[["2021",12,6]]},"issued":{"date-parts":[["2016"]]}}}],"schema":"https://github.com/citation-style-language/schema/raw/master/csl-citation.json"} </w:instrText>
      </w:r>
      <w:r w:rsidRPr="0010650D">
        <w:rPr>
          <w:rFonts w:ascii="Times New Roman" w:hAnsi="Times New Roman" w:cs="Baramond"/>
          <w:color w:val="000000" w:themeColor="text1"/>
        </w:rPr>
        <w:fldChar w:fldCharType="separate"/>
      </w:r>
      <w:r w:rsidRPr="0010650D">
        <w:rPr>
          <w:rFonts w:ascii="Times New Roman" w:hAnsi="Times New Roman" w:cs="Baramond"/>
          <w:color w:val="000000" w:themeColor="text1"/>
        </w:rPr>
        <w:t>(IBGE, 2016, p. 67)</w:t>
      </w:r>
      <w:r w:rsidRPr="0010650D">
        <w:rPr>
          <w:rFonts w:ascii="Times New Roman" w:hAnsi="Times New Roman" w:cs="Baramond"/>
          <w:color w:val="000000" w:themeColor="text1"/>
        </w:rPr>
        <w:fldChar w:fldCharType="end"/>
      </w:r>
      <w:r>
        <w:rPr>
          <w:rFonts w:ascii="Times New Roman" w:hAnsi="Times New Roman"/>
          <w:color w:val="000000" w:themeColor="text1"/>
        </w:rPr>
        <w:t xml:space="preserve">. Despite playing an important role in inter-regional energy transmission – because it </w:t>
      </w:r>
      <w:r w:rsidR="00FD318E">
        <w:rPr>
          <w:rFonts w:ascii="Times New Roman" w:hAnsi="Times New Roman"/>
          <w:color w:val="000000" w:themeColor="text1"/>
        </w:rPr>
        <w:t>is in</w:t>
      </w:r>
      <w:r>
        <w:rPr>
          <w:rFonts w:ascii="Times New Roman" w:hAnsi="Times New Roman"/>
          <w:color w:val="000000" w:themeColor="text1"/>
        </w:rPr>
        <w:t xml:space="preserve"> Brazil’s geographic center –, the low installed capacity of the </w:t>
      </w:r>
      <w:r w:rsidR="00C03EC0">
        <w:rPr>
          <w:rFonts w:ascii="Times New Roman" w:hAnsi="Times New Roman"/>
          <w:color w:val="000000" w:themeColor="text1"/>
        </w:rPr>
        <w:t>Midwest</w:t>
      </w:r>
      <w:r>
        <w:rPr>
          <w:rFonts w:ascii="Times New Roman" w:hAnsi="Times New Roman"/>
          <w:color w:val="000000" w:themeColor="text1"/>
        </w:rPr>
        <w:t xml:space="preserve"> region leads to low production gains, which places it in last place in terms of refers to energy generation. In this regard, the Northeast region appears as the most attractive.</w:t>
      </w:r>
    </w:p>
    <w:p w14:paraId="44D1C597" w14:textId="0E2F5141" w:rsidR="0010650D" w:rsidRPr="0010650D" w:rsidRDefault="0010650D" w:rsidP="0010650D">
      <w:pPr>
        <w:autoSpaceDE w:val="0"/>
        <w:autoSpaceDN w:val="0"/>
        <w:adjustRightInd w:val="0"/>
        <w:spacing w:before="60" w:after="60" w:line="240" w:lineRule="auto"/>
        <w:ind w:firstLine="567"/>
        <w:jc w:val="both"/>
        <w:textAlignment w:val="center"/>
        <w:rPr>
          <w:rFonts w:ascii="Times New Roman" w:hAnsi="Times New Roman" w:cs="Baramond"/>
          <w:color w:val="000000" w:themeColor="text1"/>
        </w:rPr>
      </w:pPr>
      <w:r>
        <w:rPr>
          <w:rFonts w:ascii="Times New Roman" w:hAnsi="Times New Roman"/>
          <w:color w:val="000000" w:themeColor="text1"/>
        </w:rPr>
        <w:t xml:space="preserve">In addition to the shock generating good results in the northeastern electrical sector, it is also what most boosts the production of Electricity and Gas activities most throughout the </w:t>
      </w:r>
      <w:r w:rsidR="00852067">
        <w:rPr>
          <w:rFonts w:ascii="Times New Roman" w:hAnsi="Times New Roman"/>
          <w:color w:val="000000" w:themeColor="text1"/>
        </w:rPr>
        <w:t>n</w:t>
      </w:r>
      <w:r>
        <w:rPr>
          <w:rFonts w:ascii="Times New Roman" w:hAnsi="Times New Roman"/>
          <w:color w:val="000000" w:themeColor="text1"/>
        </w:rPr>
        <w:t xml:space="preserve">ation (in order, Northeast, Southeast, North and </w:t>
      </w:r>
      <w:r w:rsidR="00C03EC0">
        <w:rPr>
          <w:rFonts w:ascii="Times New Roman" w:hAnsi="Times New Roman"/>
          <w:color w:val="000000" w:themeColor="text1"/>
        </w:rPr>
        <w:t>Midwest</w:t>
      </w:r>
      <w:r>
        <w:rPr>
          <w:rFonts w:ascii="Times New Roman" w:hAnsi="Times New Roman"/>
          <w:color w:val="000000" w:themeColor="text1"/>
        </w:rPr>
        <w:t xml:space="preserve"> and South), which </w:t>
      </w:r>
      <w:r>
        <w:rPr>
          <w:rFonts w:ascii="Times New Roman" w:hAnsi="Times New Roman"/>
          <w:color w:val="000000" w:themeColor="text1"/>
        </w:rPr>
        <w:lastRenderedPageBreak/>
        <w:t xml:space="preserve">corresponds two-thirds of the effects of the shock considering the entire country and all industries. That said, the production gain due to the investment shock in the Northeast is 9% greater than that observed in any other region. </w:t>
      </w:r>
    </w:p>
    <w:p w14:paraId="3E95FBBC" w14:textId="1AD0B3C2" w:rsidR="0010650D" w:rsidRPr="0010650D" w:rsidRDefault="00B41820" w:rsidP="0010650D">
      <w:pPr>
        <w:autoSpaceDE w:val="0"/>
        <w:autoSpaceDN w:val="0"/>
        <w:adjustRightInd w:val="0"/>
        <w:spacing w:before="60" w:after="60" w:line="240" w:lineRule="auto"/>
        <w:ind w:firstLine="567"/>
        <w:jc w:val="both"/>
        <w:textAlignment w:val="center"/>
        <w:rPr>
          <w:rFonts w:ascii="Times New Roman" w:hAnsi="Times New Roman" w:cs="Baramond"/>
          <w:color w:val="000000" w:themeColor="text1"/>
        </w:rPr>
      </w:pPr>
      <w:r>
        <w:rPr>
          <w:rFonts w:ascii="Times New Roman" w:hAnsi="Times New Roman"/>
          <w:color w:val="000000" w:themeColor="text1"/>
        </w:rPr>
        <w:t>We attribute t</w:t>
      </w:r>
      <w:r w:rsidR="0010650D">
        <w:rPr>
          <w:rFonts w:ascii="Times New Roman" w:hAnsi="Times New Roman"/>
          <w:color w:val="000000" w:themeColor="text1"/>
        </w:rPr>
        <w:t>his result partly to its wind and solar generation capacity, which</w:t>
      </w:r>
      <w:r w:rsidR="00DD427A">
        <w:rPr>
          <w:rFonts w:ascii="Times New Roman" w:hAnsi="Times New Roman"/>
          <w:color w:val="000000" w:themeColor="text1"/>
        </w:rPr>
        <w:t xml:space="preserve"> </w:t>
      </w:r>
      <w:r w:rsidR="0010650D">
        <w:rPr>
          <w:rFonts w:ascii="Times New Roman" w:hAnsi="Times New Roman"/>
          <w:color w:val="000000" w:themeColor="text1"/>
        </w:rPr>
        <w:t xml:space="preserve">accounted for 76% of the country's total capacity in 2014 </w:t>
      </w:r>
      <w:r w:rsidR="0010650D" w:rsidRPr="0010650D">
        <w:rPr>
          <w:rFonts w:ascii="Times New Roman" w:hAnsi="Times New Roman" w:cs="Baramond"/>
          <w:color w:val="000000" w:themeColor="text1"/>
        </w:rPr>
        <w:fldChar w:fldCharType="begin"/>
      </w:r>
      <w:r w:rsidR="0010650D" w:rsidRPr="0010650D">
        <w:rPr>
          <w:rFonts w:ascii="Times New Roman" w:hAnsi="Times New Roman" w:cs="Baramond"/>
          <w:color w:val="000000" w:themeColor="text1"/>
        </w:rPr>
        <w:instrText xml:space="preserve"> ADDIN ZOTERO_ITEM CSL_CITATION {"citationID":"4d4nkWHq","properties":{"formattedCitation":"(IBGE, 2016)","plainCitation":"(IBGE, 2016)","dontUpdate":true,"noteIndex":0},"citationItems":[{"id":58,"uris":["http://zotero.org/users/8767809/items/EPWCTF9M",["http://zotero.org/users/8767809/items/EPWCTF9M"]],"itemData":{"id":58,"type":"book","event-place":"Rio de Janeiro","number-of-pages":"100","publisher":"IBGE","publisher-place":"Rio de Janeiro","title":"Logística de Energia 2015: Redes e Fluxos de Energia","URL":"https://biblioteca.ibge.gov.br/index.php/biblioteca-catalogo?id=297260&amp;view=detalhes","author":[{"family":"IBGE","given":""}],"accessed":{"date-parts":[["2021",12,6]]},"issued":{"date-parts":[["2016"]]}}}],"schema":"https://github.com/citation-style-language/schema/raw/master/csl-citation.json"} </w:instrText>
      </w:r>
      <w:r w:rsidR="0010650D" w:rsidRPr="0010650D">
        <w:rPr>
          <w:rFonts w:ascii="Times New Roman" w:hAnsi="Times New Roman" w:cs="Baramond"/>
          <w:color w:val="000000" w:themeColor="text1"/>
        </w:rPr>
        <w:fldChar w:fldCharType="separate"/>
      </w:r>
      <w:r w:rsidR="0010650D" w:rsidRPr="0010650D">
        <w:rPr>
          <w:rFonts w:ascii="Times New Roman" w:hAnsi="Times New Roman" w:cs="Baramond"/>
          <w:color w:val="000000" w:themeColor="text1"/>
        </w:rPr>
        <w:t>(IBGE, 2016, p. 76)</w:t>
      </w:r>
      <w:r w:rsidR="0010650D" w:rsidRPr="0010650D">
        <w:rPr>
          <w:rFonts w:ascii="Times New Roman" w:hAnsi="Times New Roman" w:cs="Baramond"/>
          <w:color w:val="000000" w:themeColor="text1"/>
        </w:rPr>
        <w:fldChar w:fldCharType="end"/>
      </w:r>
      <w:r w:rsidR="0010650D">
        <w:rPr>
          <w:rFonts w:ascii="Times New Roman" w:hAnsi="Times New Roman"/>
          <w:color w:val="000000" w:themeColor="text1"/>
        </w:rPr>
        <w:t xml:space="preserve">. In this context, </w:t>
      </w:r>
      <w:r w:rsidR="0010650D" w:rsidRPr="0010650D">
        <w:rPr>
          <w:rFonts w:ascii="Times New Roman" w:hAnsi="Times New Roman" w:cs="Baramond"/>
          <w:color w:val="000000" w:themeColor="text1"/>
        </w:rPr>
        <w:fldChar w:fldCharType="begin"/>
      </w:r>
      <w:r w:rsidR="0010650D" w:rsidRPr="0010650D">
        <w:rPr>
          <w:rFonts w:ascii="Times New Roman" w:hAnsi="Times New Roman" w:cs="Baramond"/>
          <w:color w:val="000000" w:themeColor="text1"/>
        </w:rPr>
        <w:instrText xml:space="preserve"> ADDIN ZOTERO_ITEM CSL_CITATION {"citationID":"CxkhBEgf","properties":{"formattedCitation":"(PAO; FU, 2013)","plainCitation":"(PAO; FU, 2013)","dontUpdate":true,"noteIndex":0},"citationItems":[{"id":111,"uris":["http://zotero.org/users/8767809/items/M5VNYE9A"],"itemData":{"id":111,"type":"article-journal","abstract":"This study investigates the causal relationship between clean and non-clean energy consumption and economic growth in Brazil over the period of 1980–2009. Clean energy consumption at aggregated level of total renewable energy consumption and disaggregated levels of hydroelectric, new renewables, and nuclear energy consumption are tested within a production function framework. A cointegration test reveals a long-term equilibrium relationship between real output, capital, labor, and renewable and non-renewable energy consumption at aggregated level, and a long-term equilibrium relationship between real output, capital, labor, and hydroelectric/new renewables/nuclear and fossil fuel energy consumption at disaggregated level. The capital, labor, and new renewables elasticities of real output are positive and statistically significant, other energy consumption item's elasticities are insignificant. The results from error correction model reveal the interdependencies between new renewables, nuclear, fossil fuel, and total non-renewable energy consumption and economic growth, the unidirectional causality from hydroelectric/total renewable consumption to economic growth, the substitutability between new renewables and fossil fuel consumption, and the substitutability between new renewables and nuclear energy consumption. Additionally, nuclear and new renewables energy consumption responds to bring the system back to equilibrium. Overall, aggregated analysis may obscure the relationship between different types of clean energy consumption and economic growth.","container-title":"Energy Policy","DOI":"10.1016/j.enpol.2013.06.113","ISSN":"0301-4215","journalAbbreviation":"Energy Policy","page":"793-801","source":"ScienceDirect","title":"The causal relationship between energy resources and economic growth in Brazil","volume":"61","author":[{"family":"Pao","given":"Hsiao-Tien"},{"family":"Fu","given":"Hsin-Chia"}],"issued":{"date-parts":[["2013",10,1]]}}}],"schema":"https://github.com/citation-style-language/schema/raw/master/csl-citation.json"} </w:instrText>
      </w:r>
      <w:r w:rsidR="0010650D" w:rsidRPr="0010650D">
        <w:rPr>
          <w:rFonts w:ascii="Times New Roman" w:hAnsi="Times New Roman" w:cs="Baramond"/>
          <w:color w:val="000000" w:themeColor="text1"/>
        </w:rPr>
        <w:fldChar w:fldCharType="separate"/>
      </w:r>
      <w:r w:rsidR="0010650D" w:rsidRPr="0010650D">
        <w:rPr>
          <w:rFonts w:ascii="Times New Roman" w:hAnsi="Times New Roman" w:cs="Baramond"/>
          <w:color w:val="000000" w:themeColor="text1"/>
        </w:rPr>
        <w:t>Pao</w:t>
      </w:r>
      <w:r w:rsidR="00291D4A">
        <w:rPr>
          <w:rFonts w:ascii="Times New Roman" w:hAnsi="Times New Roman" w:cs="Baramond"/>
          <w:color w:val="000000" w:themeColor="text1"/>
        </w:rPr>
        <w:t xml:space="preserve"> and </w:t>
      </w:r>
      <w:r w:rsidR="0010650D" w:rsidRPr="0010650D">
        <w:rPr>
          <w:rFonts w:ascii="Times New Roman" w:hAnsi="Times New Roman" w:cs="Baramond"/>
          <w:color w:val="000000" w:themeColor="text1"/>
        </w:rPr>
        <w:t>Fu (2013)</w:t>
      </w:r>
      <w:r w:rsidR="0010650D" w:rsidRPr="0010650D">
        <w:rPr>
          <w:rFonts w:ascii="Times New Roman" w:hAnsi="Times New Roman" w:cs="Baramond"/>
          <w:color w:val="000000" w:themeColor="text1"/>
        </w:rPr>
        <w:fldChar w:fldCharType="end"/>
      </w:r>
      <w:r w:rsidR="0010650D">
        <w:rPr>
          <w:rFonts w:ascii="Times New Roman" w:hAnsi="Times New Roman"/>
          <w:color w:val="000000" w:themeColor="text1"/>
        </w:rPr>
        <w:t xml:space="preserve"> show that a 1% increase in electricity consumption from renewable sources increases real GDP by 0.2%, so that investments in the electrical sector in the region of countries with the greatest potential for renewable generation tend to encourage more economic activity.</w:t>
      </w:r>
    </w:p>
    <w:p w14:paraId="1AE738E3" w14:textId="62970662" w:rsidR="0010650D" w:rsidRPr="0010650D" w:rsidRDefault="0010650D" w:rsidP="0010650D">
      <w:pPr>
        <w:autoSpaceDE w:val="0"/>
        <w:autoSpaceDN w:val="0"/>
        <w:adjustRightInd w:val="0"/>
        <w:spacing w:before="60" w:after="60" w:line="240" w:lineRule="auto"/>
        <w:ind w:firstLine="567"/>
        <w:jc w:val="both"/>
        <w:textAlignment w:val="center"/>
        <w:rPr>
          <w:rFonts w:ascii="Times New Roman" w:hAnsi="Times New Roman" w:cs="Baramond"/>
          <w:color w:val="000000" w:themeColor="text1"/>
        </w:rPr>
      </w:pPr>
      <w:r>
        <w:rPr>
          <w:rFonts w:ascii="Times New Roman" w:hAnsi="Times New Roman"/>
          <w:color w:val="000000" w:themeColor="text1"/>
        </w:rPr>
        <w:t xml:space="preserve">Due to </w:t>
      </w:r>
      <w:r w:rsidR="00C55A6E">
        <w:rPr>
          <w:rFonts w:ascii="Times New Roman" w:hAnsi="Times New Roman"/>
          <w:color w:val="000000" w:themeColor="text1"/>
        </w:rPr>
        <w:t xml:space="preserve">the </w:t>
      </w:r>
      <w:r>
        <w:rPr>
          <w:rFonts w:ascii="Times New Roman" w:hAnsi="Times New Roman"/>
          <w:color w:val="000000" w:themeColor="text1"/>
        </w:rPr>
        <w:t xml:space="preserve">greater production, the Northeast is also the most attractive in terms of indirect taxes and, particularly, ICMS, given the higher </w:t>
      </w:r>
      <w:r w:rsidR="00102D9A">
        <w:rPr>
          <w:rFonts w:ascii="Times New Roman" w:hAnsi="Times New Roman"/>
          <w:color w:val="000000" w:themeColor="text1"/>
        </w:rPr>
        <w:t xml:space="preserve">tax </w:t>
      </w:r>
      <w:r>
        <w:rPr>
          <w:rFonts w:ascii="Times New Roman" w:hAnsi="Times New Roman"/>
          <w:color w:val="000000" w:themeColor="text1"/>
        </w:rPr>
        <w:t xml:space="preserve">rates paid by the electricity sector. </w:t>
      </w:r>
      <w:r w:rsidR="00873B79">
        <w:rPr>
          <w:rFonts w:ascii="Times New Roman" w:hAnsi="Times New Roman"/>
          <w:color w:val="000000" w:themeColor="text1"/>
        </w:rPr>
        <w:t>ICMS</w:t>
      </w:r>
      <w:r>
        <w:rPr>
          <w:rFonts w:ascii="Times New Roman" w:hAnsi="Times New Roman"/>
          <w:color w:val="000000" w:themeColor="text1"/>
        </w:rPr>
        <w:t xml:space="preserve"> gains in all regions (</w:t>
      </w:r>
      <w:r w:rsidR="00FD318E">
        <w:rPr>
          <w:rFonts w:ascii="Times New Roman" w:hAnsi="Times New Roman"/>
          <w:color w:val="000000" w:themeColor="text1"/>
        </w:rPr>
        <w:t>BRL</w:t>
      </w:r>
      <w:r>
        <w:rPr>
          <w:rFonts w:ascii="Times New Roman" w:hAnsi="Times New Roman"/>
          <w:color w:val="000000" w:themeColor="text1"/>
        </w:rPr>
        <w:t xml:space="preserve"> 3.5 million) cover more than 10% of the value of the simulated investment of </w:t>
      </w:r>
      <w:r w:rsidR="00FD318E">
        <w:rPr>
          <w:rFonts w:ascii="Times New Roman" w:hAnsi="Times New Roman"/>
          <w:color w:val="000000" w:themeColor="text1"/>
        </w:rPr>
        <w:t>BRL</w:t>
      </w:r>
      <w:r>
        <w:rPr>
          <w:rFonts w:ascii="Times New Roman" w:hAnsi="Times New Roman"/>
          <w:color w:val="000000" w:themeColor="text1"/>
        </w:rPr>
        <w:t xml:space="preserve"> 34.3 million and are at least 30% greater than those observed for shocks in other regions</w:t>
      </w:r>
      <w:r w:rsidRPr="0010650D">
        <w:rPr>
          <w:rFonts w:ascii="Times New Roman" w:hAnsi="Times New Roman" w:cs="Baramond"/>
          <w:color w:val="000000" w:themeColor="text1"/>
          <w:vertAlign w:val="superscript"/>
          <w:lang w:eastAsia="pt-BR"/>
        </w:rPr>
        <w:footnoteReference w:id="23"/>
      </w:r>
      <w:r>
        <w:rPr>
          <w:rFonts w:ascii="Times New Roman" w:hAnsi="Times New Roman"/>
          <w:color w:val="000000" w:themeColor="text1"/>
        </w:rPr>
        <w:t>. Even considering only the impact on the region itself (</w:t>
      </w:r>
      <w:r w:rsidR="00F10DBA">
        <w:rPr>
          <w:rFonts w:ascii="Times New Roman" w:hAnsi="Times New Roman"/>
          <w:color w:val="000000" w:themeColor="text1"/>
        </w:rPr>
        <w:t>the diagonal of each subpanel</w:t>
      </w:r>
      <w:r>
        <w:rPr>
          <w:rFonts w:ascii="Times New Roman" w:hAnsi="Times New Roman"/>
          <w:color w:val="000000" w:themeColor="text1"/>
        </w:rPr>
        <w:t>), the value is still 16% higher than observed in any other simulati</w:t>
      </w:r>
      <w:r w:rsidR="00102D9A">
        <w:rPr>
          <w:rFonts w:ascii="Times New Roman" w:hAnsi="Times New Roman"/>
          <w:color w:val="000000" w:themeColor="text1"/>
        </w:rPr>
        <w:t>on</w:t>
      </w:r>
      <w:r>
        <w:rPr>
          <w:rFonts w:ascii="Times New Roman" w:hAnsi="Times New Roman"/>
          <w:color w:val="000000" w:themeColor="text1"/>
        </w:rPr>
        <w:t xml:space="preserve">. </w:t>
      </w:r>
    </w:p>
    <w:p w14:paraId="337E0AEC" w14:textId="77777777" w:rsidR="0010650D" w:rsidRPr="0010650D" w:rsidRDefault="0010650D" w:rsidP="0010650D">
      <w:pPr>
        <w:autoSpaceDE w:val="0"/>
        <w:autoSpaceDN w:val="0"/>
        <w:adjustRightInd w:val="0"/>
        <w:spacing w:before="60" w:after="60" w:line="240" w:lineRule="auto"/>
        <w:ind w:firstLine="567"/>
        <w:jc w:val="both"/>
        <w:textAlignment w:val="center"/>
        <w:rPr>
          <w:rFonts w:ascii="Times New Roman" w:hAnsi="Times New Roman" w:cs="Baramond"/>
          <w:color w:val="000000" w:themeColor="text1"/>
        </w:rPr>
      </w:pPr>
      <w:r>
        <w:rPr>
          <w:rFonts w:ascii="Times New Roman" w:hAnsi="Times New Roman"/>
          <w:color w:val="000000" w:themeColor="text1"/>
        </w:rPr>
        <w:t xml:space="preserve">Moreover, the Northeast also turned out to be the most attractive region when analyzing the impacts of the shock on occupations and wages, indicating that the investments in the region would have the greatest capacity to generate income from work, which is mainly due to the gains of </w:t>
      </w:r>
      <w:r w:rsidRPr="00586E86">
        <w:rPr>
          <w:rFonts w:ascii="Times New Roman" w:hAnsi="Times New Roman"/>
          <w:color w:val="000000" w:themeColor="text1"/>
        </w:rPr>
        <w:t>employment and income in tertiary sectors – notably, commerce, other administrative activities and complementary services and land transport –, which exceed those observed in any other region of the country.</w:t>
      </w:r>
    </w:p>
    <w:p w14:paraId="0575CAE4" w14:textId="77777777" w:rsidR="0010650D" w:rsidRPr="0010650D" w:rsidRDefault="0010650D" w:rsidP="0010650D">
      <w:pPr>
        <w:autoSpaceDE w:val="0"/>
        <w:autoSpaceDN w:val="0"/>
        <w:adjustRightInd w:val="0"/>
        <w:spacing w:before="60" w:after="60" w:line="240" w:lineRule="auto"/>
        <w:ind w:firstLine="567"/>
        <w:jc w:val="both"/>
        <w:textAlignment w:val="center"/>
        <w:rPr>
          <w:rFonts w:ascii="Times New Roman" w:hAnsi="Times New Roman" w:cs="Baramond"/>
          <w:color w:val="000000" w:themeColor="text1"/>
        </w:rPr>
      </w:pPr>
      <w:r>
        <w:rPr>
          <w:rFonts w:ascii="Times New Roman" w:hAnsi="Times New Roman"/>
          <w:color w:val="000000" w:themeColor="text1"/>
        </w:rPr>
        <w:t>The conclusions recorded so far are based on the national effects of the shock in each region, considering all spillovers. Another relevant analysis – which will be carried out below – consists of observing the impacts that are restricted to the region itself, i.e. disregarding the effects on the rest of the country.</w:t>
      </w:r>
    </w:p>
    <w:p w14:paraId="12F5476D" w14:textId="77777777" w:rsidR="0010650D" w:rsidRPr="0010650D" w:rsidRDefault="0010650D" w:rsidP="0010650D">
      <w:pPr>
        <w:autoSpaceDE w:val="0"/>
        <w:autoSpaceDN w:val="0"/>
        <w:adjustRightInd w:val="0"/>
        <w:spacing w:before="60" w:after="60" w:line="240" w:lineRule="auto"/>
        <w:jc w:val="both"/>
        <w:textAlignment w:val="center"/>
        <w:rPr>
          <w:rFonts w:ascii="Times New Roman" w:hAnsi="Times New Roman" w:cs="Baramond"/>
          <w:b/>
          <w:bCs/>
          <w:color w:val="000000"/>
          <w:lang w:eastAsia="pt-BR"/>
        </w:rPr>
      </w:pPr>
    </w:p>
    <w:p w14:paraId="399BA038" w14:textId="249C480F" w:rsidR="00702A87" w:rsidRPr="00102D9A" w:rsidRDefault="00702A87" w:rsidP="00102D9A">
      <w:pPr>
        <w:tabs>
          <w:tab w:val="center" w:pos="4800"/>
          <w:tab w:val="right" w:pos="9500"/>
        </w:tabs>
        <w:spacing w:after="0" w:line="260" w:lineRule="atLeast"/>
        <w:outlineLvl w:val="1"/>
        <w:rPr>
          <w:rFonts w:ascii="Tahoma" w:eastAsia="Times New Roman" w:hAnsi="Tahoma" w:cs="Tahoma"/>
          <w:b/>
        </w:rPr>
      </w:pPr>
      <w:r>
        <w:rPr>
          <w:rFonts w:ascii="Tahoma" w:hAnsi="Tahoma"/>
          <w:b/>
        </w:rPr>
        <w:t>5.2. Spillover Effects</w:t>
      </w:r>
    </w:p>
    <w:p w14:paraId="225E55CB" w14:textId="77777777" w:rsidR="00702A87" w:rsidRPr="00702A87" w:rsidRDefault="00702A87" w:rsidP="00702A87">
      <w:pPr>
        <w:autoSpaceDE w:val="0"/>
        <w:autoSpaceDN w:val="0"/>
        <w:adjustRightInd w:val="0"/>
        <w:spacing w:before="60" w:after="60" w:line="240" w:lineRule="auto"/>
        <w:ind w:firstLine="567"/>
        <w:jc w:val="both"/>
        <w:textAlignment w:val="center"/>
        <w:rPr>
          <w:rFonts w:ascii="Times New Roman" w:hAnsi="Times New Roman" w:cs="Baramond"/>
          <w:color w:val="000000"/>
        </w:rPr>
      </w:pPr>
      <w:r>
        <w:rPr>
          <w:rFonts w:ascii="Times New Roman" w:hAnsi="Times New Roman"/>
          <w:color w:val="000000"/>
        </w:rPr>
        <w:t xml:space="preserve">In addition to shocks, spillovers were analyzed in each region – in other words, the percentage of impact caused by the increase in final demand in the electricity sector that occurs in other areas of the country and not in the region of origin. The calculation was made for production and for various components of value added and the payments sector. </w:t>
      </w:r>
    </w:p>
    <w:p w14:paraId="6D4AF226" w14:textId="3C2BA28E" w:rsidR="00102D9A" w:rsidRPr="00102D9A" w:rsidRDefault="00702A87" w:rsidP="00102D9A">
      <w:pPr>
        <w:autoSpaceDE w:val="0"/>
        <w:autoSpaceDN w:val="0"/>
        <w:adjustRightInd w:val="0"/>
        <w:spacing w:before="60" w:after="60" w:line="240" w:lineRule="auto"/>
        <w:ind w:firstLine="567"/>
        <w:jc w:val="both"/>
        <w:textAlignment w:val="center"/>
        <w:rPr>
          <w:rFonts w:ascii="Times New Roman" w:hAnsi="Times New Roman"/>
          <w:color w:val="000000"/>
        </w:rPr>
      </w:pPr>
      <w:r>
        <w:rPr>
          <w:rFonts w:ascii="Times New Roman" w:hAnsi="Times New Roman"/>
          <w:color w:val="000000"/>
        </w:rPr>
        <w:t xml:space="preserve">Thus, grouping the vector </w:t>
      </w:r>
      <m:oMath>
        <m:r>
          <m:rPr>
            <m:sty m:val="b"/>
          </m:rPr>
          <w:rPr>
            <w:rFonts w:ascii="Cambria Math" w:hAnsi="Cambria Math" w:cs="Baramond"/>
            <w:color w:val="000000"/>
            <w:lang w:eastAsia="pt-BR"/>
          </w:rPr>
          <m:t>Δ</m:t>
        </m:r>
        <m:r>
          <m:rPr>
            <m:sty m:val="bi"/>
          </m:rPr>
          <w:rPr>
            <w:rFonts w:ascii="Cambria Math" w:hAnsi="Cambria Math" w:cs="Baramond"/>
            <w:color w:val="000000"/>
            <w:lang w:eastAsia="pt-BR"/>
          </w:rPr>
          <m:t>x</m:t>
        </m:r>
      </m:oMath>
      <w:r>
        <w:rPr>
          <w:rFonts w:ascii="Times New Roman" w:hAnsi="Times New Roman"/>
          <w:color w:val="000000"/>
        </w:rPr>
        <w:t xml:space="preserve"> at a regional level – which gives rise to five values </w:t>
      </w:r>
      <m:oMath>
        <m:r>
          <m:rPr>
            <m:sty m:val="p"/>
          </m:rPr>
          <w:rPr>
            <w:rFonts w:ascii="Cambria Math" w:hAnsi="Cambria Math" w:cs="Baramond"/>
            <w:color w:val="000000"/>
            <w:lang w:eastAsia="pt-BR"/>
          </w:rPr>
          <m:t>Δ</m:t>
        </m:r>
        <m:sSup>
          <m:sSupPr>
            <m:ctrlPr>
              <w:rPr>
                <w:rFonts w:ascii="Cambria Math" w:hAnsi="Cambria Math" w:cs="Baramond"/>
                <w:i/>
                <w:color w:val="000000"/>
                <w:lang w:eastAsia="pt-BR"/>
              </w:rPr>
            </m:ctrlPr>
          </m:sSupPr>
          <m:e>
            <m:r>
              <w:rPr>
                <w:rFonts w:ascii="Cambria Math" w:hAnsi="Cambria Math" w:cs="Baramond"/>
                <w:color w:val="000000"/>
                <w:lang w:eastAsia="pt-BR"/>
              </w:rPr>
              <m:t>x</m:t>
            </m:r>
          </m:e>
          <m:sup>
            <m:r>
              <w:rPr>
                <w:rFonts w:ascii="Cambria Math" w:hAnsi="Cambria Math" w:cs="Baramond"/>
                <w:color w:val="000000"/>
                <w:lang w:eastAsia="pt-BR"/>
              </w:rPr>
              <m:t>R</m:t>
            </m:r>
          </m:sup>
        </m:sSup>
      </m:oMath>
      <w:r>
        <w:rPr>
          <w:rFonts w:ascii="Times New Roman" w:hAnsi="Times New Roman"/>
          <w:color w:val="000000"/>
        </w:rPr>
        <w:t xml:space="preserve">, one for each region –, and </w:t>
      </w:r>
      <m:oMath>
        <m:r>
          <m:rPr>
            <m:sty m:val="p"/>
          </m:rPr>
          <w:rPr>
            <w:rFonts w:ascii="Cambria Math" w:hAnsi="Cambria Math" w:cs="Baramond"/>
            <w:color w:val="000000"/>
            <w:lang w:eastAsia="pt-BR"/>
          </w:rPr>
          <m:t>Δ</m:t>
        </m:r>
        <m:sSup>
          <m:sSupPr>
            <m:ctrlPr>
              <w:rPr>
                <w:rFonts w:ascii="Cambria Math" w:hAnsi="Cambria Math" w:cs="Baramond"/>
                <w:i/>
                <w:color w:val="000000"/>
                <w:lang w:eastAsia="pt-BR"/>
              </w:rPr>
            </m:ctrlPr>
          </m:sSupPr>
          <m:e>
            <m:r>
              <w:rPr>
                <w:rFonts w:ascii="Cambria Math" w:hAnsi="Cambria Math" w:cs="Baramond"/>
                <w:color w:val="000000"/>
                <w:lang w:eastAsia="pt-BR"/>
              </w:rPr>
              <m:t>x</m:t>
            </m:r>
          </m:e>
          <m:sup>
            <m:r>
              <w:rPr>
                <w:rFonts w:ascii="Cambria Math" w:hAnsi="Cambria Math" w:cs="Baramond"/>
                <w:color w:val="000000"/>
                <w:lang w:eastAsia="pt-BR"/>
              </w:rPr>
              <m:t>NAC</m:t>
            </m:r>
          </m:sup>
        </m:sSup>
      </m:oMath>
      <w:r>
        <w:rPr>
          <w:rFonts w:ascii="Times New Roman" w:hAnsi="Times New Roman"/>
          <w:color w:val="000000"/>
        </w:rPr>
        <w:t xml:space="preserve"> being the national variation in production as a result of the shock, the spillover effects for each </w:t>
      </w:r>
      <w:r w:rsidR="0018632E">
        <w:rPr>
          <w:rFonts w:ascii="Times New Roman" w:hAnsi="Times New Roman"/>
          <w:color w:val="000000"/>
        </w:rPr>
        <w:t xml:space="preserve">region </w:t>
      </w:r>
      <m:oMath>
        <m:r>
          <w:rPr>
            <w:rFonts w:ascii="Cambria Math" w:hAnsi="Cambria Math" w:cs="Baramond"/>
            <w:color w:val="000000"/>
            <w:lang w:eastAsia="pt-BR"/>
          </w:rPr>
          <m:t>R</m:t>
        </m:r>
      </m:oMath>
      <w:r>
        <w:rPr>
          <w:rFonts w:ascii="Times New Roman" w:hAnsi="Times New Roman"/>
          <w:color w:val="000000"/>
        </w:rPr>
        <w:t>, interpreted in percentage terms of the total impact of the shock, are given by:</w:t>
      </w:r>
    </w:p>
    <w:p w14:paraId="1EF3B3D0" w14:textId="5A7AE199" w:rsidR="00702A87" w:rsidRPr="00702A87" w:rsidRDefault="00000000" w:rsidP="00702A87">
      <w:pPr>
        <w:autoSpaceDE w:val="0"/>
        <w:autoSpaceDN w:val="0"/>
        <w:adjustRightInd w:val="0"/>
        <w:spacing w:before="60" w:after="60" w:line="240" w:lineRule="auto"/>
        <w:jc w:val="both"/>
        <w:textAlignment w:val="center"/>
        <w:rPr>
          <w:rFonts w:ascii="Times New Roman" w:hAnsi="Times New Roman" w:cs="Baramond"/>
          <w:color w:val="000000"/>
        </w:rPr>
      </w:pPr>
      <m:oMathPara>
        <m:oMath>
          <m:eqArr>
            <m:eqArrPr>
              <m:maxDist m:val="1"/>
              <m:ctrlPr>
                <w:rPr>
                  <w:rFonts w:ascii="Cambria Math" w:hAnsi="Cambria Math" w:cs="Baramond"/>
                  <w:color w:val="000000"/>
                  <w:sz w:val="20"/>
                  <w:lang w:eastAsia="pt-BR"/>
                </w:rPr>
              </m:ctrlPr>
            </m:eqArrPr>
            <m:e>
              <m:r>
                <w:rPr>
                  <w:rFonts w:ascii="Cambria Math" w:hAnsi="Cambria Math" w:cs="Baramond"/>
                  <w:color w:val="000000"/>
                  <w:sz w:val="20"/>
                  <w:lang w:eastAsia="pt-BR"/>
                </w:rPr>
                <m:t>SE</m:t>
              </m:r>
              <m:r>
                <m:rPr>
                  <m:sty m:val="p"/>
                </m:rPr>
                <w:rPr>
                  <w:rFonts w:ascii="Cambria Math" w:hAnsi="Cambria Math" w:cs="Baramond"/>
                  <w:color w:val="000000"/>
                  <w:sz w:val="20"/>
                  <w:lang w:eastAsia="pt-BR"/>
                </w:rPr>
                <m:t>=</m:t>
              </m:r>
              <m:f>
                <m:fPr>
                  <m:ctrlPr>
                    <w:rPr>
                      <w:rFonts w:ascii="Cambria Math" w:hAnsi="Cambria Math" w:cs="Baramond"/>
                      <w:color w:val="000000"/>
                      <w:sz w:val="20"/>
                      <w:lang w:eastAsia="pt-BR"/>
                    </w:rPr>
                  </m:ctrlPr>
                </m:fPr>
                <m:num>
                  <m:r>
                    <m:rPr>
                      <m:sty m:val="p"/>
                    </m:rPr>
                    <w:rPr>
                      <w:rFonts w:ascii="Cambria Math" w:hAnsi="Cambria Math" w:cs="Baramond"/>
                      <w:color w:val="000000"/>
                      <w:sz w:val="20"/>
                      <w:lang w:eastAsia="pt-BR"/>
                    </w:rPr>
                    <m:t>Δ</m:t>
                  </m:r>
                  <m:sSup>
                    <m:sSupPr>
                      <m:ctrlPr>
                        <w:rPr>
                          <w:rFonts w:ascii="Cambria Math" w:hAnsi="Cambria Math" w:cs="Baramond"/>
                          <w:color w:val="000000"/>
                          <w:sz w:val="20"/>
                          <w:lang w:eastAsia="pt-BR"/>
                        </w:rPr>
                      </m:ctrlPr>
                    </m:sSupPr>
                    <m:e>
                      <m:r>
                        <w:rPr>
                          <w:rFonts w:ascii="Cambria Math" w:hAnsi="Cambria Math" w:cs="Baramond"/>
                          <w:color w:val="000000"/>
                          <w:sz w:val="20"/>
                          <w:lang w:eastAsia="pt-BR"/>
                        </w:rPr>
                        <m:t>x</m:t>
                      </m:r>
                    </m:e>
                    <m:sup>
                      <m:r>
                        <w:rPr>
                          <w:rFonts w:ascii="Cambria Math" w:hAnsi="Cambria Math" w:cs="Baramond"/>
                          <w:color w:val="000000"/>
                          <w:sz w:val="20"/>
                          <w:lang w:eastAsia="pt-BR"/>
                        </w:rPr>
                        <m:t>NAC</m:t>
                      </m:r>
                    </m:sup>
                  </m:sSup>
                  <m:r>
                    <m:rPr>
                      <m:sty m:val="p"/>
                    </m:rPr>
                    <w:rPr>
                      <w:rFonts w:ascii="Cambria Math" w:hAnsi="Cambria Math" w:cs="Baramond"/>
                      <w:color w:val="000000"/>
                      <w:sz w:val="20"/>
                      <w:lang w:eastAsia="pt-BR"/>
                    </w:rPr>
                    <m:t xml:space="preserve"> - Δ</m:t>
                  </m:r>
                  <m:sSup>
                    <m:sSupPr>
                      <m:ctrlPr>
                        <w:rPr>
                          <w:rFonts w:ascii="Cambria Math" w:hAnsi="Cambria Math" w:cs="Baramond"/>
                          <w:color w:val="000000"/>
                          <w:sz w:val="20"/>
                          <w:lang w:eastAsia="pt-BR"/>
                        </w:rPr>
                      </m:ctrlPr>
                    </m:sSupPr>
                    <m:e>
                      <m:r>
                        <w:rPr>
                          <w:rFonts w:ascii="Cambria Math" w:hAnsi="Cambria Math" w:cs="Baramond"/>
                          <w:color w:val="000000"/>
                          <w:sz w:val="20"/>
                          <w:lang w:eastAsia="pt-BR"/>
                        </w:rPr>
                        <m:t>x</m:t>
                      </m:r>
                    </m:e>
                    <m:sup>
                      <m:r>
                        <w:rPr>
                          <w:rFonts w:ascii="Cambria Math" w:hAnsi="Cambria Math" w:cs="Baramond"/>
                          <w:color w:val="000000"/>
                          <w:sz w:val="20"/>
                          <w:lang w:eastAsia="pt-BR"/>
                        </w:rPr>
                        <m:t>R</m:t>
                      </m:r>
                    </m:sup>
                  </m:sSup>
                </m:num>
                <m:den>
                  <m:r>
                    <m:rPr>
                      <m:sty m:val="p"/>
                    </m:rPr>
                    <w:rPr>
                      <w:rFonts w:ascii="Cambria Math" w:hAnsi="Cambria Math" w:cs="Baramond"/>
                      <w:color w:val="000000"/>
                      <w:sz w:val="20"/>
                      <w:lang w:eastAsia="pt-BR"/>
                    </w:rPr>
                    <m:t>Δ</m:t>
                  </m:r>
                  <m:sSup>
                    <m:sSupPr>
                      <m:ctrlPr>
                        <w:rPr>
                          <w:rFonts w:ascii="Cambria Math" w:hAnsi="Cambria Math" w:cs="Baramond"/>
                          <w:color w:val="000000"/>
                          <w:sz w:val="20"/>
                          <w:lang w:eastAsia="pt-BR"/>
                        </w:rPr>
                      </m:ctrlPr>
                    </m:sSupPr>
                    <m:e>
                      <m:r>
                        <w:rPr>
                          <w:rFonts w:ascii="Cambria Math" w:hAnsi="Cambria Math" w:cs="Baramond"/>
                          <w:color w:val="000000"/>
                          <w:sz w:val="20"/>
                          <w:lang w:eastAsia="pt-BR"/>
                        </w:rPr>
                        <m:t>x</m:t>
                      </m:r>
                    </m:e>
                    <m:sup>
                      <m:r>
                        <w:rPr>
                          <w:rFonts w:ascii="Cambria Math" w:hAnsi="Cambria Math" w:cs="Baramond"/>
                          <w:color w:val="000000"/>
                          <w:sz w:val="20"/>
                          <w:lang w:eastAsia="pt-BR"/>
                        </w:rPr>
                        <m:t>NAC</m:t>
                      </m:r>
                    </m:sup>
                  </m:sSup>
                </m:den>
              </m:f>
              <m:r>
                <m:rPr>
                  <m:sty m:val="p"/>
                </m:rPr>
                <w:rPr>
                  <w:rFonts w:ascii="Cambria Math" w:hAnsi="Cambria Math" w:cs="Baramond"/>
                  <w:color w:val="000000"/>
                  <w:sz w:val="20"/>
                  <w:lang w:eastAsia="pt-BR"/>
                </w:rPr>
                <m:t>#</m:t>
              </m:r>
              <m:d>
                <m:dPr>
                  <m:ctrlPr>
                    <w:rPr>
                      <w:rFonts w:ascii="Cambria Math" w:hAnsi="Cambria Math" w:cs="Baramond"/>
                      <w:color w:val="000000"/>
                      <w:sz w:val="20"/>
                      <w:lang w:eastAsia="pt-BR"/>
                    </w:rPr>
                  </m:ctrlPr>
                </m:dPr>
                <m:e>
                  <m:r>
                    <m:rPr>
                      <m:sty m:val="p"/>
                    </m:rPr>
                    <w:rPr>
                      <w:rFonts w:ascii="Cambria Math" w:hAnsi="Cambria Math" w:cs="Baramond"/>
                      <w:color w:val="000000"/>
                      <w:sz w:val="20"/>
                      <w:lang w:eastAsia="pt-BR"/>
                    </w:rPr>
                    <m:t>9</m:t>
                  </m:r>
                </m:e>
              </m:d>
            </m:e>
          </m:eqArr>
        </m:oMath>
      </m:oMathPara>
    </w:p>
    <w:p w14:paraId="0645E2BF" w14:textId="77777777" w:rsidR="00702A87" w:rsidRPr="00702A87" w:rsidRDefault="00702A87" w:rsidP="00702A87">
      <w:pPr>
        <w:autoSpaceDE w:val="0"/>
        <w:autoSpaceDN w:val="0"/>
        <w:adjustRightInd w:val="0"/>
        <w:spacing w:before="60" w:after="60" w:line="240" w:lineRule="auto"/>
        <w:ind w:firstLine="567"/>
        <w:jc w:val="both"/>
        <w:textAlignment w:val="center"/>
        <w:rPr>
          <w:rFonts w:ascii="Times New Roman" w:hAnsi="Times New Roman" w:cs="Baramond"/>
          <w:color w:val="000000"/>
          <w:lang w:eastAsia="pt-BR"/>
        </w:rPr>
      </w:pPr>
    </w:p>
    <w:p w14:paraId="421864FF" w14:textId="08D0A0C6" w:rsidR="00702A87" w:rsidRPr="00702A87" w:rsidRDefault="00702A87" w:rsidP="00702A87">
      <w:pPr>
        <w:autoSpaceDE w:val="0"/>
        <w:autoSpaceDN w:val="0"/>
        <w:adjustRightInd w:val="0"/>
        <w:spacing w:before="60" w:after="60" w:line="240" w:lineRule="auto"/>
        <w:ind w:firstLine="567"/>
        <w:jc w:val="both"/>
        <w:textAlignment w:val="center"/>
        <w:rPr>
          <w:rFonts w:ascii="Times New Roman" w:hAnsi="Times New Roman" w:cs="Baramond"/>
          <w:color w:val="000000"/>
        </w:rPr>
      </w:pPr>
      <w:r>
        <w:rPr>
          <w:rFonts w:ascii="Times New Roman" w:hAnsi="Times New Roman"/>
          <w:color w:val="000000"/>
        </w:rPr>
        <w:t>Therefore, the greater the “degree of retention” of the impact of the shock in the region, the smaller the spillover effect. Thus, large spillovers into developed regions can be seen as positive from a regional development perspective. On the other hand, spillovers in less developed locations show that the effects of a shock are not felt mostly in the region, which can occur, for example, through the purchase of inputs or the import of labor.</w:t>
      </w:r>
    </w:p>
    <w:p w14:paraId="3CE75989" w14:textId="17011984" w:rsidR="00702A87" w:rsidRPr="00702A87" w:rsidRDefault="00702A87" w:rsidP="00702A87">
      <w:pPr>
        <w:autoSpaceDE w:val="0"/>
        <w:autoSpaceDN w:val="0"/>
        <w:adjustRightInd w:val="0"/>
        <w:spacing w:before="60" w:after="60" w:line="240" w:lineRule="auto"/>
        <w:ind w:firstLine="567"/>
        <w:jc w:val="both"/>
        <w:textAlignment w:val="center"/>
        <w:rPr>
          <w:rFonts w:ascii="Times New Roman" w:hAnsi="Times New Roman" w:cs="Baramond"/>
          <w:color w:val="000000"/>
        </w:rPr>
      </w:pPr>
      <w:r>
        <w:rPr>
          <w:rFonts w:ascii="Times New Roman" w:hAnsi="Times New Roman"/>
          <w:color w:val="000000"/>
        </w:rPr>
        <w:t xml:space="preserve">The main diagonals in Table 3 show that, in all the analyzed variables, </w:t>
      </w:r>
      <w:r w:rsidR="00BC052B">
        <w:rPr>
          <w:rFonts w:ascii="Times New Roman" w:hAnsi="Times New Roman"/>
          <w:color w:val="000000"/>
        </w:rPr>
        <w:t>except for</w:t>
      </w:r>
      <w:r>
        <w:rPr>
          <w:rFonts w:ascii="Times New Roman" w:hAnsi="Times New Roman"/>
          <w:color w:val="000000"/>
        </w:rPr>
        <w:t xml:space="preserve"> GOS in the North and ICMS in the Northeast, the Southeast region has the largest impact when the spillover effects of the shocks are not </w:t>
      </w:r>
      <w:r w:rsidR="00BC052B">
        <w:rPr>
          <w:rFonts w:ascii="Times New Roman" w:hAnsi="Times New Roman"/>
          <w:color w:val="000000"/>
        </w:rPr>
        <w:t>considered</w:t>
      </w:r>
      <w:r>
        <w:rPr>
          <w:rFonts w:ascii="Times New Roman" w:hAnsi="Times New Roman"/>
          <w:color w:val="000000"/>
        </w:rPr>
        <w:t>.</w:t>
      </w:r>
    </w:p>
    <w:p w14:paraId="1262C0E0" w14:textId="1DF3C2F2" w:rsidR="00702A87" w:rsidRPr="00702A87" w:rsidRDefault="00702A87" w:rsidP="00702A87">
      <w:pPr>
        <w:autoSpaceDE w:val="0"/>
        <w:autoSpaceDN w:val="0"/>
        <w:adjustRightInd w:val="0"/>
        <w:spacing w:before="60" w:after="60" w:line="240" w:lineRule="auto"/>
        <w:ind w:firstLine="567"/>
        <w:jc w:val="both"/>
        <w:textAlignment w:val="center"/>
        <w:rPr>
          <w:rFonts w:ascii="Times New Roman" w:hAnsi="Times New Roman" w:cs="Baramond"/>
          <w:color w:val="000000"/>
        </w:rPr>
      </w:pPr>
      <w:r>
        <w:rPr>
          <w:rFonts w:ascii="Times New Roman" w:hAnsi="Times New Roman"/>
          <w:color w:val="000000"/>
        </w:rPr>
        <w:t xml:space="preserve">The contrast in results when considering the total effects is due to the fact that the </w:t>
      </w:r>
      <w:r w:rsidR="003D3329">
        <w:rPr>
          <w:rFonts w:ascii="Times New Roman" w:hAnsi="Times New Roman"/>
          <w:color w:val="000000"/>
        </w:rPr>
        <w:t xml:space="preserve">Southeast </w:t>
      </w:r>
      <w:r>
        <w:rPr>
          <w:rFonts w:ascii="Times New Roman" w:hAnsi="Times New Roman"/>
          <w:color w:val="000000"/>
        </w:rPr>
        <w:t xml:space="preserve">region is </w:t>
      </w:r>
      <w:r w:rsidR="003D3329">
        <w:rPr>
          <w:rFonts w:ascii="Times New Roman" w:hAnsi="Times New Roman"/>
          <w:color w:val="000000"/>
        </w:rPr>
        <w:t xml:space="preserve">the </w:t>
      </w:r>
      <w:r>
        <w:rPr>
          <w:rFonts w:ascii="Times New Roman" w:hAnsi="Times New Roman"/>
          <w:color w:val="000000"/>
        </w:rPr>
        <w:t xml:space="preserve">largest importer of energy from other locations – almost 50% of its final consumption </w:t>
      </w:r>
      <w:r w:rsidRPr="00702A87">
        <w:rPr>
          <w:rFonts w:ascii="Times New Roman" w:hAnsi="Times New Roman" w:cs="Baramond"/>
          <w:color w:val="000000"/>
        </w:rPr>
        <w:fldChar w:fldCharType="begin"/>
      </w:r>
      <w:r w:rsidRPr="00702A87">
        <w:rPr>
          <w:rFonts w:ascii="Times New Roman" w:hAnsi="Times New Roman" w:cs="Baramond"/>
          <w:color w:val="000000"/>
        </w:rPr>
        <w:instrText xml:space="preserve"> ADDIN ZOTERO_ITEM CSL_CITATION {"citationID":"mw41lddT","properties":{"formattedCitation":"(BRASIL, 2016)","plainCitation":"(BRASIL, 2016)","noteIndex":0},"citationItems":[{"id":53,"uris":["http://zotero.org/users/8767809/items/MYPBHJB6",["http://zotero.org/users/8767809/items/MYPBHJB6"]],"itemData":{"id":53,"type":"document","title":"Matrizes Energéticas Estaduais","URL":"https://www.gov.br/mme/pt-br/assuntos/secretarias/sntep/publicacoes/matrizes-energeticas-estaduais/03-matrizes-eletricas-estaduais-2016-ano-ref-2015-pdf.pdf","author":[{"family":"Brasil","given":""}],"accessed":{"date-parts":[["2021",12,3]]},"issued":{"date-parts":[["2016"]]}}}],"schema":"https://github.com/citation-style-language/schema/raw/master/csl-citation.json"} </w:instrText>
      </w:r>
      <w:r w:rsidRPr="00702A87">
        <w:rPr>
          <w:rFonts w:ascii="Times New Roman" w:hAnsi="Times New Roman" w:cs="Baramond"/>
          <w:color w:val="000000"/>
        </w:rPr>
        <w:fldChar w:fldCharType="separate"/>
      </w:r>
      <w:r w:rsidRPr="00702A87">
        <w:rPr>
          <w:rFonts w:ascii="Times New Roman" w:hAnsi="Times New Roman" w:cs="Baramond"/>
          <w:color w:val="000000"/>
        </w:rPr>
        <w:t>(</w:t>
      </w:r>
      <w:r w:rsidR="0031303A">
        <w:rPr>
          <w:rFonts w:ascii="Times New Roman" w:hAnsi="Times New Roman" w:cs="Baramond"/>
          <w:color w:val="000000"/>
        </w:rPr>
        <w:t>Brazil</w:t>
      </w:r>
      <w:r w:rsidRPr="00702A87">
        <w:rPr>
          <w:rFonts w:ascii="Times New Roman" w:hAnsi="Times New Roman" w:cs="Baramond"/>
          <w:color w:val="000000"/>
        </w:rPr>
        <w:t>, 2016)</w:t>
      </w:r>
      <w:r w:rsidRPr="00702A87">
        <w:rPr>
          <w:rFonts w:ascii="Times New Roman" w:hAnsi="Times New Roman" w:cs="Baramond"/>
          <w:color w:val="000000"/>
        </w:rPr>
        <w:fldChar w:fldCharType="end"/>
      </w:r>
      <w:r>
        <w:rPr>
          <w:rFonts w:ascii="Times New Roman" w:hAnsi="Times New Roman"/>
          <w:color w:val="000000"/>
        </w:rPr>
        <w:t>, thus absorb</w:t>
      </w:r>
      <w:r w:rsidR="003D3329">
        <w:rPr>
          <w:rFonts w:ascii="Times New Roman" w:hAnsi="Times New Roman"/>
          <w:color w:val="000000"/>
        </w:rPr>
        <w:t>ing</w:t>
      </w:r>
      <w:r>
        <w:rPr>
          <w:rFonts w:ascii="Times New Roman" w:hAnsi="Times New Roman"/>
          <w:color w:val="000000"/>
        </w:rPr>
        <w:t xml:space="preserve"> the impacts of shocks in other regions. In addition, the Southeast concentrates most of Brazil's industrial production – almost 54% in 2017, despite a decentralization movement </w:t>
      </w:r>
      <w:r w:rsidRPr="00702A87">
        <w:rPr>
          <w:rFonts w:ascii="Times New Roman" w:hAnsi="Times New Roman" w:cs="Baramond"/>
          <w:color w:val="000000"/>
        </w:rPr>
        <w:fldChar w:fldCharType="begin"/>
      </w:r>
      <w:r w:rsidRPr="00702A87">
        <w:rPr>
          <w:rFonts w:ascii="Times New Roman" w:hAnsi="Times New Roman" w:cs="Baramond"/>
          <w:color w:val="000000"/>
        </w:rPr>
        <w:instrText xml:space="preserve"> ADDIN ZOTERO_ITEM CSL_CITATION {"citationID":"6pEBxVLi","properties":{"formattedCitation":"(CNI, 2021)","plainCitation":"(CNI, 2021)","noteIndex":0},"citationItems":[{"id":55,"uris":["http://zotero.org/users/8767809/items/C9EWTPAR",["http://zotero.org/users/8767809/items/C9EWTPAR"]],"itemData":{"id":55,"type":"document","title":"Nota Econômica nº 19","URL":"https://www.portaldaindustria.com.br/publicacoes/2021/2/nota-economica/#nota-economica-19%20","author":[{"family":"CNI","given":""}],"accessed":{"date-parts":[["2021",12,6]]},"issued":{"date-parts":[["2021"]]}}}],"schema":"https://github.com/citation-style-language/schema/raw/master/csl-citation.json"} </w:instrText>
      </w:r>
      <w:r w:rsidRPr="00702A87">
        <w:rPr>
          <w:rFonts w:ascii="Times New Roman" w:hAnsi="Times New Roman" w:cs="Baramond"/>
          <w:color w:val="000000"/>
        </w:rPr>
        <w:fldChar w:fldCharType="separate"/>
      </w:r>
      <w:r w:rsidRPr="00702A87">
        <w:rPr>
          <w:rFonts w:ascii="Times New Roman" w:hAnsi="Times New Roman" w:cs="Baramond"/>
          <w:color w:val="000000"/>
        </w:rPr>
        <w:t>(CNI, 2021)</w:t>
      </w:r>
      <w:r w:rsidRPr="00702A87">
        <w:rPr>
          <w:rFonts w:ascii="Times New Roman" w:hAnsi="Times New Roman" w:cs="Baramond"/>
          <w:color w:val="000000"/>
        </w:rPr>
        <w:fldChar w:fldCharType="end"/>
      </w:r>
      <w:r>
        <w:rPr>
          <w:rFonts w:ascii="Times New Roman" w:hAnsi="Times New Roman"/>
          <w:color w:val="000000"/>
        </w:rPr>
        <w:t xml:space="preserve"> –, which means that</w:t>
      </w:r>
      <w:r w:rsidR="003D3329">
        <w:rPr>
          <w:rFonts w:ascii="Times New Roman" w:hAnsi="Times New Roman"/>
          <w:color w:val="000000"/>
        </w:rPr>
        <w:t xml:space="preserve"> the</w:t>
      </w:r>
      <w:r>
        <w:rPr>
          <w:rFonts w:ascii="Times New Roman" w:hAnsi="Times New Roman"/>
          <w:color w:val="000000"/>
        </w:rPr>
        <w:t xml:space="preserve"> region exports inputs to other Brazilian areas. As a result, the investment made elsewhere is used in part to purchase inputs in the Southeast, which in turn generates income and employment in Brazil's most economically developed region.</w:t>
      </w:r>
    </w:p>
    <w:p w14:paraId="718E1EA0" w14:textId="5BF936B6" w:rsidR="00702A87" w:rsidRPr="00522DCF" w:rsidRDefault="00702A87" w:rsidP="00702A87">
      <w:pPr>
        <w:autoSpaceDE w:val="0"/>
        <w:autoSpaceDN w:val="0"/>
        <w:adjustRightInd w:val="0"/>
        <w:spacing w:before="60" w:after="60" w:line="240" w:lineRule="auto"/>
        <w:ind w:firstLine="567"/>
        <w:jc w:val="both"/>
        <w:textAlignment w:val="center"/>
        <w:rPr>
          <w:rFonts w:ascii="Times New Roman" w:hAnsi="Times New Roman" w:cs="Baramond"/>
          <w:color w:val="000000" w:themeColor="text1"/>
          <w:lang w:val="pt-BR"/>
        </w:rPr>
      </w:pPr>
      <w:r>
        <w:rPr>
          <w:rFonts w:ascii="Times New Roman" w:hAnsi="Times New Roman"/>
          <w:color w:val="000000"/>
        </w:rPr>
        <w:t>Furthermore, Table 4 shows that</w:t>
      </w:r>
      <w:r>
        <w:rPr>
          <w:rFonts w:ascii="Times New Roman" w:hAnsi="Times New Roman"/>
          <w:color w:val="000000" w:themeColor="text1"/>
        </w:rPr>
        <w:t xml:space="preserve">, within the input-output framework, </w:t>
      </w:r>
      <w:r w:rsidR="00551D5D">
        <w:rPr>
          <w:rFonts w:ascii="Times New Roman" w:hAnsi="Times New Roman"/>
          <w:color w:val="000000" w:themeColor="text1"/>
        </w:rPr>
        <w:t>its</w:t>
      </w:r>
      <w:r>
        <w:rPr>
          <w:rFonts w:ascii="Times New Roman" w:hAnsi="Times New Roman"/>
          <w:color w:val="000000" w:themeColor="text1"/>
        </w:rPr>
        <w:t xml:space="preserve"> domestic spillovers are small, which contributes to preserving the effects of the shock and is consistent with other results that simulate final demand shocks in all sectors of the economy and that point to the Southeast as the most self-sufficient region in the country </w:t>
      </w:r>
      <w:r w:rsidRPr="00702A87">
        <w:rPr>
          <w:rFonts w:ascii="Times New Roman" w:hAnsi="Times New Roman" w:cs="Baramond"/>
          <w:color w:val="000000" w:themeColor="text1"/>
        </w:rPr>
        <w:fldChar w:fldCharType="begin"/>
      </w:r>
      <w:r w:rsidRPr="00702A87">
        <w:rPr>
          <w:rFonts w:ascii="Times New Roman" w:hAnsi="Times New Roman" w:cs="Baramond"/>
          <w:color w:val="000000" w:themeColor="text1"/>
        </w:rPr>
        <w:instrText xml:space="preserve"> ADDIN ZOTERO_ITEM CSL_CITATION {"citationID":"WGnaXhd5","properties":{"formattedCitation":"(HADDAD; J\\uc0\\u218{}NIOR; NASCIMENTO, 2017)","plainCitation":"(HADDAD; JÚNIOR; NASCIMENTO, 2017)","dontUpdate":true,"noteIndex":0},"citationItems":[{"id":93,"uris":["http://zotero.org/users/8767809/items/FG6KJL7I"],"itemData":{"id":93,"type":"article-journal","abstract":"O presente artigo apresenta o processo de estimação de um sistema inter-regional de insumo-produto para os 26 estados brasileiros e o Distrito Federal em condições de informação limitada, utilizando o método IIOAS. O IIOAS é consistente com a matriz de insumo-produto nacional e pode ser construído para qualquer país que publique suas TRUs e possua um sistema de informações setoriais regionalizadas. Posteriormente, analisaram-se as relações comerciais e as estruturas produtivas de cada UF. São Paulo e Rio de janeiro mostraram-se os estados mais autossuficientes. Já Roraima e Tocantins foram os que apresentaram os níveis de autossuficiência mais baixos. No que diz respeito à interdependência regional, Roraima e Acre foram os estados cuja produção apresentou menor dependência em relação à demanda final de outros estados, já Amazonas, Espírito Santo e Mato Grosso foram os estados em que a demanda final de outras UFs e do exterior mais influencia a produção local.","container-title":"Revista Brasileira de Estudos Regionais e Urbanos","ISSN":"2447-7990","issue":"4","language":"pt","license":"Copyright (c) 2018 </w:instrText>
      </w:r>
      <w:r w:rsidRPr="001A159C">
        <w:rPr>
          <w:rFonts w:ascii="Times New Roman" w:hAnsi="Times New Roman" w:cs="Baramond"/>
          <w:color w:val="000000" w:themeColor="text1"/>
        </w:rPr>
        <w:instrText xml:space="preserve">ABER","note":"number: 4","page":"424-446","source":"www.revistaaber.org.br","title":"Matriz Interestadual de Insumo-Produto para o Brasil: uma aplicação do método IIOAS","title-short":"MATRIZ INTERESTADUAL DE INSUMO-PRODUTO PARA O BRASIL","volume":"11","author":[{"family":"Haddad","given":"Eduardo Amaral"},{"family":"Júnior","given":"Carlos Alberto Gonçalves"},{"family":"Nascimento","given":"Thiago Oliveira"}],"issued":{"date-parts":[["2017"]]}}}],"schema":"https://github.com/citation-style-language/schema/raw/master/csl-citation.json"} </w:instrText>
      </w:r>
      <w:r w:rsidRPr="00702A87">
        <w:rPr>
          <w:rFonts w:ascii="Times New Roman" w:hAnsi="Times New Roman" w:cs="Baramond"/>
          <w:color w:val="000000" w:themeColor="text1"/>
        </w:rPr>
        <w:fldChar w:fldCharType="separate"/>
      </w:r>
      <w:r w:rsidRPr="001A159C">
        <w:rPr>
          <w:rFonts w:ascii="Times New Roman" w:hAnsi="Times New Roman"/>
          <w:color w:val="000000" w:themeColor="text1"/>
        </w:rPr>
        <w:t>(</w:t>
      </w:r>
      <w:r w:rsidR="00BC052B">
        <w:rPr>
          <w:rFonts w:ascii="Times New Roman" w:hAnsi="Times New Roman"/>
          <w:color w:val="000000" w:themeColor="text1"/>
        </w:rPr>
        <w:t>Haddad</w:t>
      </w:r>
      <w:r w:rsidRPr="001A159C">
        <w:rPr>
          <w:rFonts w:ascii="Times New Roman" w:hAnsi="Times New Roman"/>
          <w:color w:val="000000" w:themeColor="text1"/>
        </w:rPr>
        <w:t xml:space="preserve">; </w:t>
      </w:r>
      <w:r w:rsidR="00BC052B">
        <w:rPr>
          <w:rFonts w:ascii="Times New Roman" w:hAnsi="Times New Roman"/>
          <w:color w:val="000000" w:themeColor="text1"/>
        </w:rPr>
        <w:t>Júnior</w:t>
      </w:r>
      <w:r w:rsidRPr="001A159C">
        <w:rPr>
          <w:rFonts w:ascii="Times New Roman" w:hAnsi="Times New Roman"/>
          <w:color w:val="000000" w:themeColor="text1"/>
        </w:rPr>
        <w:t xml:space="preserve">; </w:t>
      </w:r>
      <w:r w:rsidR="00BC052B">
        <w:rPr>
          <w:rFonts w:ascii="Times New Roman" w:hAnsi="Times New Roman"/>
          <w:color w:val="000000" w:themeColor="text1"/>
        </w:rPr>
        <w:t>Nascimento</w:t>
      </w:r>
      <w:r w:rsidRPr="001A159C">
        <w:rPr>
          <w:rFonts w:ascii="Times New Roman" w:hAnsi="Times New Roman"/>
          <w:color w:val="000000" w:themeColor="text1"/>
        </w:rPr>
        <w:t>, 2017;</w:t>
      </w:r>
      <w:r w:rsidRPr="00702A87">
        <w:rPr>
          <w:rFonts w:ascii="Times New Roman" w:hAnsi="Times New Roman" w:cs="Baramond"/>
          <w:color w:val="000000" w:themeColor="text1"/>
        </w:rPr>
        <w:fldChar w:fldCharType="end"/>
      </w:r>
      <w:r w:rsidRPr="001A159C">
        <w:rPr>
          <w:rFonts w:ascii="Times New Roman" w:hAnsi="Times New Roman"/>
          <w:color w:val="000000" w:themeColor="text1"/>
        </w:rPr>
        <w:t xml:space="preserve"> </w:t>
      </w:r>
      <w:r w:rsidRPr="00702A87">
        <w:rPr>
          <w:rFonts w:ascii="Times New Roman" w:hAnsi="Times New Roman" w:cs="Baramond"/>
          <w:color w:val="000000" w:themeColor="text1"/>
        </w:rPr>
        <w:fldChar w:fldCharType="begin"/>
      </w:r>
      <w:r w:rsidRPr="001A159C">
        <w:rPr>
          <w:rFonts w:ascii="Times New Roman" w:hAnsi="Times New Roman" w:cs="Baramond"/>
          <w:color w:val="000000" w:themeColor="text1"/>
        </w:rPr>
        <w:instrText xml:space="preserve"> ADDIN ZOTERO_ITEM CSL_CITATION {"citationID":"d7tniAhB","properties":{"formattedCitation":"(GUILHOTO et al., 2019)","plainCitation":"(GUILHOTO et al., 2019)","dontUpdate":true,"noteIndex":0},"citationItems":[{"id":78,"uris":["http://zotero.org/users/8767809/items/KEKPARVK",["http://zotero.org/users/8767809/items/KEKPARVK"]],"itemData":{"id":78,"type":"article-journal","container-title":"Economia Aplicada","DOI":"https://doi.org/10.11606/1980-5330/ea139552","issue":"1","page":"83-112","title":"Sistema interestadual de insumo-produto do Brasil: uma aplicação do método SUIT","volum</w:instrText>
      </w:r>
      <w:r w:rsidRPr="00522DCF">
        <w:rPr>
          <w:rFonts w:ascii="Times New Roman" w:hAnsi="Times New Roman" w:cs="Baramond"/>
          <w:color w:val="000000" w:themeColor="text1"/>
          <w:lang w:val="pt-BR"/>
        </w:rPr>
        <w:instrText xml:space="preserve">e":"23","author":[{"family":"Guilhoto","given":"Joaquim José Martins"},{"family":"Júnior","given":"Carlos Alberto Gonçalves"},{"family":"Imori","given":"Denise"},{"family":"Ussami","given":"Keyi Ando"}],"issued":{"date-parts":[["2019"]]}}}],"schema":"https://github.com/citation-style-language/schema/raw/master/csl-citation.json"} </w:instrText>
      </w:r>
      <w:r w:rsidRPr="00702A87">
        <w:rPr>
          <w:rFonts w:ascii="Times New Roman" w:hAnsi="Times New Roman" w:cs="Baramond"/>
          <w:color w:val="000000" w:themeColor="text1"/>
        </w:rPr>
        <w:fldChar w:fldCharType="separate"/>
      </w:r>
      <w:r w:rsidR="00BC052B">
        <w:rPr>
          <w:rFonts w:ascii="Times New Roman" w:hAnsi="Times New Roman" w:cs="Baramond"/>
          <w:color w:val="000000" w:themeColor="text1"/>
          <w:lang w:val="pt-BR"/>
        </w:rPr>
        <w:t>Guilhoto</w:t>
      </w:r>
      <w:r w:rsidRPr="00522DCF">
        <w:rPr>
          <w:rFonts w:ascii="Times New Roman" w:hAnsi="Times New Roman" w:cs="Baramond"/>
          <w:color w:val="000000" w:themeColor="text1"/>
          <w:lang w:val="pt-BR"/>
        </w:rPr>
        <w:t xml:space="preserve"> </w:t>
      </w:r>
      <w:r w:rsidRPr="00522DCF">
        <w:rPr>
          <w:rFonts w:ascii="Times New Roman" w:hAnsi="Times New Roman" w:cs="Baramond"/>
          <w:i/>
          <w:color w:val="000000" w:themeColor="text1"/>
          <w:lang w:val="pt-BR"/>
        </w:rPr>
        <w:t>et al.,</w:t>
      </w:r>
      <w:r w:rsidRPr="00522DCF">
        <w:rPr>
          <w:rFonts w:ascii="Times New Roman" w:hAnsi="Times New Roman" w:cs="Baramond"/>
          <w:color w:val="000000" w:themeColor="text1"/>
          <w:lang w:val="pt-BR"/>
        </w:rPr>
        <w:t xml:space="preserve"> 2019)</w:t>
      </w:r>
      <w:r w:rsidRPr="00702A87">
        <w:rPr>
          <w:rFonts w:ascii="Times New Roman" w:hAnsi="Times New Roman" w:cs="Baramond"/>
          <w:color w:val="000000" w:themeColor="text1"/>
        </w:rPr>
        <w:fldChar w:fldCharType="end"/>
      </w:r>
      <w:r w:rsidRPr="00522DCF">
        <w:rPr>
          <w:rFonts w:ascii="Times New Roman" w:hAnsi="Times New Roman"/>
          <w:color w:val="000000" w:themeColor="text1"/>
          <w:lang w:val="pt-BR"/>
        </w:rPr>
        <w:t xml:space="preserve">. </w:t>
      </w:r>
    </w:p>
    <w:p w14:paraId="672F9893" w14:textId="77777777" w:rsidR="00702A87" w:rsidRPr="00522DCF" w:rsidRDefault="00702A87" w:rsidP="00702A87">
      <w:pPr>
        <w:autoSpaceDE w:val="0"/>
        <w:autoSpaceDN w:val="0"/>
        <w:adjustRightInd w:val="0"/>
        <w:spacing w:before="60" w:after="60" w:line="240" w:lineRule="auto"/>
        <w:ind w:firstLine="567"/>
        <w:jc w:val="both"/>
        <w:textAlignment w:val="center"/>
        <w:rPr>
          <w:rFonts w:ascii="Times New Roman" w:hAnsi="Times New Roman" w:cs="Baramond"/>
          <w:color w:val="000000"/>
          <w:lang w:val="pt-BR"/>
        </w:rPr>
      </w:pPr>
      <w:r w:rsidRPr="00702A87">
        <w:rPr>
          <w:rFonts w:ascii="Times New Roman" w:hAnsi="Times New Roman" w:cs="Baramond"/>
          <w:color w:val="5B9BD5" w:themeColor="accent5"/>
        </w:rPr>
        <w:fldChar w:fldCharType="begin"/>
      </w:r>
      <w:r w:rsidRPr="00522DCF">
        <w:rPr>
          <w:rFonts w:ascii="Times New Roman" w:hAnsi="Times New Roman" w:cs="Baramond"/>
          <w:color w:val="5B9BD5" w:themeColor="accent5"/>
          <w:lang w:val="pt-BR"/>
        </w:rPr>
        <w:instrText xml:space="preserve"> ADDIN ZOTERO_ITEM CSL_CITATION {"citationID":"RPRiHLNZ","properties":{"formattedCitation":"(GUILHOTO et al., 2019; HADDAD; J\\uc0\\u218{}NIOR; NASCIMENTO, 2017)","plainCitation":"(GUILHOTO et al., 2019; HADDAD; JÚNIOR; NASCIMENTO, 2017)","noteIndex":0},"citationItems":[{"id":93,"uris":["http://zotero.org/users/8767809/items/FG6KJL7I"],"itemData":{"id":93,"type":"article-journal","abstract":"O presente artigo apresenta o processo de estimação de um sistema inter-regional de insumo-produto para os 26 estados brasileiros e o Distrito Federal em condições de informação limitada, utilizando o método IIOAS. O IIOAS é consistente com a matriz de insumo-produto nacional e pode ser construído para qualquer país que publique suas TRUs e possua um sistema de informações setoriais regionalizadas. Posteriormente, analisaram-se as relações comerciais e as estruturas produtivas de cada UF. São Paulo e Rio de janeiro mostraram-se os estados mais autossuficientes. Já Roraima e Tocantins foram os que apresentaram os níveis de autossuficiência mais baixos. No que diz respeito à interdependência regional, Roraima e Acre foram os estados cuja produção apresentou menor dependência em relação à demanda final de outros estados, já Amazonas, Espírito Santo e Mato Grosso foram os estados em que a demanda final de outras UFs e do exterior mais influencia a produção local.","container-title":"Revista Brasileira de Estudos Regionais e Urbanos","ISSN":"2447-7990","issue":"4","language":"pt","license":"Copyright (c) 2018 ABER","note":"number: 4","page":"424-446","source":"www.revistaaber.org.br","title":"Matriz Interestadual de Insumo-Produto para o Brasil: uma aplicação do método IIOAS","title-short":"MATRIZ INTERESTADUAL DE INSUMO-PRODUTO PARA O BRASIL","volume":"11","author":[{"family":"Haddad","given":"Eduardo Amaral"},{"family":"Júnior","given":"Carlos Alberto Gonçalves"},{"family":"Nascimento","given":"Thiago Oliveira"}],"issued":{"date-parts":[["2017"]]}}},{"id":78,"uris":["http://zotero.org/users/8767809/items/KEKPARVK",["http://zotero.org/users/8767809/items/KEKPARVK"]],"itemData":{"id":78,"type":"article-journal","container-title":"Economia Aplicada","DOI":"https://doi.org/10.11606/1980-5330/ea139552","issue":"1","page":"83-112","title":"Sistema interestadual de insumo-produto do Brasil: uma aplicação do método SUIT","volume":"23","author":[{"family":"Guilhoto","given":"Joaquim José Martins"},{"family":"Júnior","given":"Carlos Alberto Gonçalves"},{"family":"Imori","given":"Denise"},{"family":"Ussami","given":"Keyi Ando"}],"issued":{"date-parts":[["2019"]]}}}],"schema":"https://github.com/citation-style-language/schema/raw/master/csl-citation.json"} </w:instrText>
      </w:r>
      <w:r w:rsidRPr="00702A87">
        <w:rPr>
          <w:rFonts w:ascii="Times New Roman" w:hAnsi="Times New Roman" w:cs="Baramond"/>
          <w:color w:val="5B9BD5" w:themeColor="accent5"/>
        </w:rPr>
        <w:fldChar w:fldCharType="separate"/>
      </w:r>
      <w:r w:rsidRPr="00702A87">
        <w:rPr>
          <w:rFonts w:ascii="Times New Roman" w:hAnsi="Times New Roman" w:cs="Baramond"/>
          <w:color w:val="5B9BD5" w:themeColor="accent5"/>
        </w:rPr>
        <w:fldChar w:fldCharType="end"/>
      </w:r>
    </w:p>
    <w:p w14:paraId="27FD296D" w14:textId="3DEE923E" w:rsidR="00702A87" w:rsidRPr="00522DCF" w:rsidRDefault="00702A87" w:rsidP="00702A87">
      <w:pPr>
        <w:autoSpaceDE w:val="0"/>
        <w:autoSpaceDN w:val="0"/>
        <w:adjustRightInd w:val="0"/>
        <w:spacing w:after="60" w:line="260" w:lineRule="atLeast"/>
        <w:jc w:val="center"/>
        <w:textAlignment w:val="center"/>
        <w:rPr>
          <w:rFonts w:ascii="Times New Roman" w:hAnsi="Times New Roman"/>
          <w:b/>
          <w:bCs/>
          <w:color w:val="000000"/>
          <w:lang w:val="pt-BR"/>
        </w:rPr>
      </w:pPr>
      <w:r w:rsidRPr="00522DCF">
        <w:rPr>
          <w:rFonts w:ascii="Times New Roman" w:hAnsi="Times New Roman"/>
          <w:b/>
          <w:color w:val="000000"/>
          <w:lang w:val="pt-BR"/>
        </w:rPr>
        <w:t>Table 4: Spillover effects of the GFCF shock in the electricity sector</w:t>
      </w:r>
    </w:p>
    <w:tbl>
      <w:tblPr>
        <w:tblW w:w="5000" w:type="pct"/>
        <w:tblCellMar>
          <w:left w:w="70" w:type="dxa"/>
          <w:right w:w="70" w:type="dxa"/>
        </w:tblCellMar>
        <w:tblLook w:val="04A0" w:firstRow="1" w:lastRow="0" w:firstColumn="1" w:lastColumn="0" w:noHBand="0" w:noVBand="1"/>
      </w:tblPr>
      <w:tblGrid>
        <w:gridCol w:w="1502"/>
        <w:gridCol w:w="1286"/>
        <w:gridCol w:w="1287"/>
        <w:gridCol w:w="1287"/>
        <w:gridCol w:w="1287"/>
        <w:gridCol w:w="1284"/>
      </w:tblGrid>
      <w:tr w:rsidR="00702A87" w:rsidRPr="00702A87" w14:paraId="5854D59C" w14:textId="77777777" w:rsidTr="00385866">
        <w:trPr>
          <w:trHeight w:val="340"/>
        </w:trPr>
        <w:tc>
          <w:tcPr>
            <w:tcW w:w="947" w:type="pct"/>
            <w:tcBorders>
              <w:top w:val="double" w:sz="6" w:space="0" w:color="auto"/>
              <w:left w:val="nil"/>
              <w:bottom w:val="nil"/>
              <w:right w:val="single" w:sz="4" w:space="0" w:color="auto"/>
            </w:tcBorders>
            <w:shd w:val="clear" w:color="auto" w:fill="auto"/>
            <w:noWrap/>
            <w:vAlign w:val="center"/>
            <w:hideMark/>
          </w:tcPr>
          <w:p w14:paraId="362B1543" w14:textId="77777777" w:rsidR="00702A87" w:rsidRPr="00522DCF" w:rsidRDefault="00702A87" w:rsidP="00702A87">
            <w:pPr>
              <w:spacing w:after="0" w:line="240" w:lineRule="auto"/>
              <w:rPr>
                <w:rFonts w:ascii="Times New Roman" w:eastAsia="Times New Roman" w:hAnsi="Times New Roman"/>
                <w:color w:val="000000"/>
                <w:sz w:val="20"/>
                <w:szCs w:val="20"/>
                <w:lang w:val="pt-BR"/>
              </w:rPr>
            </w:pPr>
            <w:r w:rsidRPr="00522DCF">
              <w:rPr>
                <w:rFonts w:ascii="Times New Roman" w:hAnsi="Times New Roman"/>
                <w:color w:val="000000"/>
                <w:sz w:val="20"/>
                <w:lang w:val="pt-BR"/>
              </w:rPr>
              <w:t> </w:t>
            </w:r>
          </w:p>
        </w:tc>
        <w:tc>
          <w:tcPr>
            <w:tcW w:w="4053" w:type="pct"/>
            <w:gridSpan w:val="5"/>
            <w:tcBorders>
              <w:top w:val="double" w:sz="6" w:space="0" w:color="auto"/>
              <w:left w:val="nil"/>
              <w:bottom w:val="single" w:sz="4" w:space="0" w:color="auto"/>
              <w:right w:val="single" w:sz="4" w:space="0" w:color="auto"/>
            </w:tcBorders>
            <w:shd w:val="clear" w:color="auto" w:fill="auto"/>
            <w:noWrap/>
            <w:vAlign w:val="center"/>
            <w:hideMark/>
          </w:tcPr>
          <w:p w14:paraId="2DDB7CF0" w14:textId="77777777" w:rsidR="00702A87" w:rsidRPr="00702A87" w:rsidRDefault="00702A87" w:rsidP="00702A87">
            <w:pPr>
              <w:spacing w:after="0" w:line="240" w:lineRule="auto"/>
              <w:jc w:val="center"/>
              <w:rPr>
                <w:rFonts w:ascii="Times New Roman" w:eastAsia="Times New Roman" w:hAnsi="Times New Roman"/>
                <w:b/>
                <w:bCs/>
                <w:color w:val="000000"/>
                <w:sz w:val="20"/>
                <w:szCs w:val="20"/>
              </w:rPr>
            </w:pPr>
            <w:r>
              <w:rPr>
                <w:rFonts w:ascii="Times New Roman" w:hAnsi="Times New Roman"/>
                <w:b/>
                <w:color w:val="000000"/>
                <w:sz w:val="20"/>
              </w:rPr>
              <w:t>Region of origin of the shock</w:t>
            </w:r>
          </w:p>
        </w:tc>
      </w:tr>
      <w:tr w:rsidR="00702A87" w:rsidRPr="00702A87" w14:paraId="648B98BE" w14:textId="77777777" w:rsidTr="00385866">
        <w:trPr>
          <w:trHeight w:val="320"/>
        </w:trPr>
        <w:tc>
          <w:tcPr>
            <w:tcW w:w="947" w:type="pct"/>
            <w:tcBorders>
              <w:top w:val="nil"/>
              <w:left w:val="nil"/>
              <w:bottom w:val="single" w:sz="4" w:space="0" w:color="auto"/>
              <w:right w:val="single" w:sz="4" w:space="0" w:color="auto"/>
            </w:tcBorders>
            <w:shd w:val="clear" w:color="auto" w:fill="auto"/>
            <w:noWrap/>
            <w:vAlign w:val="center"/>
            <w:hideMark/>
          </w:tcPr>
          <w:p w14:paraId="49939405" w14:textId="77777777" w:rsidR="00702A87" w:rsidRPr="00702A87" w:rsidRDefault="00702A87" w:rsidP="00702A87">
            <w:pPr>
              <w:spacing w:after="0" w:line="240" w:lineRule="auto"/>
              <w:rPr>
                <w:rFonts w:ascii="Times New Roman" w:eastAsia="Times New Roman" w:hAnsi="Times New Roman"/>
                <w:color w:val="000000"/>
                <w:sz w:val="20"/>
                <w:szCs w:val="20"/>
              </w:rPr>
            </w:pPr>
            <w:r>
              <w:rPr>
                <w:rFonts w:ascii="Times New Roman" w:hAnsi="Times New Roman"/>
                <w:color w:val="000000"/>
                <w:sz w:val="20"/>
              </w:rPr>
              <w:t> </w:t>
            </w:r>
          </w:p>
        </w:tc>
        <w:tc>
          <w:tcPr>
            <w:tcW w:w="811" w:type="pct"/>
            <w:tcBorders>
              <w:top w:val="nil"/>
              <w:left w:val="nil"/>
              <w:bottom w:val="single" w:sz="4" w:space="0" w:color="auto"/>
              <w:right w:val="single" w:sz="4" w:space="0" w:color="auto"/>
            </w:tcBorders>
            <w:shd w:val="clear" w:color="auto" w:fill="auto"/>
            <w:noWrap/>
            <w:vAlign w:val="center"/>
            <w:hideMark/>
          </w:tcPr>
          <w:p w14:paraId="3DA24F32" w14:textId="77777777" w:rsidR="00702A87" w:rsidRPr="00702A87" w:rsidRDefault="00702A87" w:rsidP="00702A87">
            <w:pPr>
              <w:spacing w:after="0" w:line="240" w:lineRule="auto"/>
              <w:jc w:val="center"/>
              <w:rPr>
                <w:rFonts w:ascii="Times New Roman" w:eastAsia="Times New Roman" w:hAnsi="Times New Roman"/>
                <w:b/>
                <w:bCs/>
                <w:color w:val="000000"/>
                <w:sz w:val="20"/>
                <w:szCs w:val="20"/>
              </w:rPr>
            </w:pPr>
            <w:r>
              <w:rPr>
                <w:rFonts w:ascii="Times New Roman" w:hAnsi="Times New Roman"/>
                <w:b/>
                <w:color w:val="000000"/>
                <w:sz w:val="20"/>
              </w:rPr>
              <w:t>North</w:t>
            </w:r>
          </w:p>
        </w:tc>
        <w:tc>
          <w:tcPr>
            <w:tcW w:w="811" w:type="pct"/>
            <w:tcBorders>
              <w:top w:val="nil"/>
              <w:left w:val="nil"/>
              <w:bottom w:val="single" w:sz="4" w:space="0" w:color="auto"/>
              <w:right w:val="single" w:sz="4" w:space="0" w:color="auto"/>
            </w:tcBorders>
            <w:shd w:val="clear" w:color="auto" w:fill="auto"/>
            <w:noWrap/>
            <w:vAlign w:val="center"/>
            <w:hideMark/>
          </w:tcPr>
          <w:p w14:paraId="16C500AA" w14:textId="77777777" w:rsidR="00702A87" w:rsidRPr="00702A87" w:rsidRDefault="00702A87" w:rsidP="00702A87">
            <w:pPr>
              <w:spacing w:after="0" w:line="240" w:lineRule="auto"/>
              <w:jc w:val="center"/>
              <w:rPr>
                <w:rFonts w:ascii="Times New Roman" w:eastAsia="Times New Roman" w:hAnsi="Times New Roman"/>
                <w:b/>
                <w:bCs/>
                <w:color w:val="000000"/>
                <w:sz w:val="20"/>
                <w:szCs w:val="20"/>
              </w:rPr>
            </w:pPr>
            <w:r>
              <w:rPr>
                <w:rFonts w:ascii="Times New Roman" w:hAnsi="Times New Roman"/>
                <w:b/>
                <w:color w:val="000000"/>
                <w:sz w:val="20"/>
              </w:rPr>
              <w:t>Northeast</w:t>
            </w:r>
          </w:p>
        </w:tc>
        <w:tc>
          <w:tcPr>
            <w:tcW w:w="811" w:type="pct"/>
            <w:tcBorders>
              <w:top w:val="nil"/>
              <w:left w:val="nil"/>
              <w:bottom w:val="single" w:sz="4" w:space="0" w:color="auto"/>
              <w:right w:val="single" w:sz="4" w:space="0" w:color="auto"/>
            </w:tcBorders>
            <w:shd w:val="clear" w:color="auto" w:fill="auto"/>
            <w:noWrap/>
            <w:vAlign w:val="center"/>
            <w:hideMark/>
          </w:tcPr>
          <w:p w14:paraId="1EB748E2" w14:textId="77777777" w:rsidR="00702A87" w:rsidRPr="00702A87" w:rsidRDefault="00702A87" w:rsidP="00702A87">
            <w:pPr>
              <w:spacing w:after="0" w:line="240" w:lineRule="auto"/>
              <w:jc w:val="center"/>
              <w:rPr>
                <w:rFonts w:ascii="Times New Roman" w:eastAsia="Times New Roman" w:hAnsi="Times New Roman"/>
                <w:b/>
                <w:bCs/>
                <w:color w:val="000000"/>
                <w:sz w:val="20"/>
                <w:szCs w:val="20"/>
              </w:rPr>
            </w:pPr>
            <w:r>
              <w:rPr>
                <w:rFonts w:ascii="Times New Roman" w:hAnsi="Times New Roman"/>
                <w:b/>
                <w:color w:val="000000"/>
                <w:sz w:val="20"/>
              </w:rPr>
              <w:t>Southeast</w:t>
            </w:r>
          </w:p>
        </w:tc>
        <w:tc>
          <w:tcPr>
            <w:tcW w:w="811" w:type="pct"/>
            <w:tcBorders>
              <w:top w:val="nil"/>
              <w:left w:val="nil"/>
              <w:bottom w:val="single" w:sz="4" w:space="0" w:color="auto"/>
              <w:right w:val="single" w:sz="4" w:space="0" w:color="auto"/>
            </w:tcBorders>
            <w:shd w:val="clear" w:color="auto" w:fill="auto"/>
            <w:noWrap/>
            <w:vAlign w:val="center"/>
            <w:hideMark/>
          </w:tcPr>
          <w:p w14:paraId="7873D8BF" w14:textId="77777777" w:rsidR="00702A87" w:rsidRPr="00702A87" w:rsidRDefault="00702A87" w:rsidP="00702A87">
            <w:pPr>
              <w:spacing w:after="0" w:line="240" w:lineRule="auto"/>
              <w:jc w:val="center"/>
              <w:rPr>
                <w:rFonts w:ascii="Times New Roman" w:eastAsia="Times New Roman" w:hAnsi="Times New Roman"/>
                <w:b/>
                <w:bCs/>
                <w:color w:val="000000"/>
                <w:sz w:val="20"/>
                <w:szCs w:val="20"/>
              </w:rPr>
            </w:pPr>
            <w:r>
              <w:rPr>
                <w:rFonts w:ascii="Times New Roman" w:hAnsi="Times New Roman"/>
                <w:b/>
                <w:color w:val="000000"/>
                <w:sz w:val="20"/>
              </w:rPr>
              <w:t>South</w:t>
            </w:r>
          </w:p>
        </w:tc>
        <w:tc>
          <w:tcPr>
            <w:tcW w:w="811" w:type="pct"/>
            <w:tcBorders>
              <w:top w:val="nil"/>
              <w:left w:val="nil"/>
              <w:bottom w:val="single" w:sz="4" w:space="0" w:color="auto"/>
              <w:right w:val="nil"/>
            </w:tcBorders>
            <w:shd w:val="clear" w:color="auto" w:fill="auto"/>
            <w:noWrap/>
            <w:vAlign w:val="center"/>
            <w:hideMark/>
          </w:tcPr>
          <w:p w14:paraId="0F4EFEA4" w14:textId="544FBC59" w:rsidR="00702A87" w:rsidRPr="00702A87" w:rsidRDefault="00C03EC0" w:rsidP="00702A87">
            <w:pPr>
              <w:spacing w:after="0" w:line="240" w:lineRule="auto"/>
              <w:jc w:val="center"/>
              <w:rPr>
                <w:rFonts w:ascii="Times New Roman" w:eastAsia="Times New Roman" w:hAnsi="Times New Roman"/>
                <w:b/>
                <w:bCs/>
                <w:color w:val="000000"/>
                <w:sz w:val="20"/>
                <w:szCs w:val="20"/>
              </w:rPr>
            </w:pPr>
            <w:r>
              <w:rPr>
                <w:rFonts w:ascii="Times New Roman" w:hAnsi="Times New Roman"/>
                <w:b/>
                <w:color w:val="000000"/>
                <w:sz w:val="20"/>
              </w:rPr>
              <w:t>Midwest</w:t>
            </w:r>
          </w:p>
        </w:tc>
      </w:tr>
      <w:tr w:rsidR="00702A87" w:rsidRPr="00702A87" w14:paraId="2C7771A3" w14:textId="77777777" w:rsidTr="00385866">
        <w:trPr>
          <w:trHeight w:val="320"/>
        </w:trPr>
        <w:tc>
          <w:tcPr>
            <w:tcW w:w="947" w:type="pct"/>
            <w:tcBorders>
              <w:top w:val="nil"/>
              <w:left w:val="nil"/>
              <w:bottom w:val="single" w:sz="4" w:space="0" w:color="auto"/>
              <w:right w:val="single" w:sz="4" w:space="0" w:color="auto"/>
            </w:tcBorders>
            <w:shd w:val="clear" w:color="auto" w:fill="auto"/>
            <w:noWrap/>
            <w:vAlign w:val="center"/>
            <w:hideMark/>
          </w:tcPr>
          <w:p w14:paraId="5A6F8F95" w14:textId="77777777" w:rsidR="00702A87" w:rsidRPr="00702A87" w:rsidRDefault="00702A87" w:rsidP="00702A87">
            <w:pPr>
              <w:spacing w:after="0" w:line="240" w:lineRule="auto"/>
              <w:rPr>
                <w:rFonts w:ascii="Times New Roman" w:eastAsia="Times New Roman" w:hAnsi="Times New Roman"/>
                <w:b/>
                <w:bCs/>
                <w:sz w:val="20"/>
                <w:szCs w:val="20"/>
              </w:rPr>
            </w:pPr>
            <w:r>
              <w:rPr>
                <w:rFonts w:ascii="Times New Roman" w:hAnsi="Times New Roman"/>
                <w:b/>
                <w:sz w:val="20"/>
              </w:rPr>
              <w:t>VA</w:t>
            </w:r>
          </w:p>
        </w:tc>
        <w:tc>
          <w:tcPr>
            <w:tcW w:w="811" w:type="pct"/>
            <w:tcBorders>
              <w:top w:val="single" w:sz="4" w:space="0" w:color="auto"/>
              <w:left w:val="single" w:sz="4" w:space="0" w:color="auto"/>
              <w:bottom w:val="single" w:sz="4" w:space="0" w:color="auto"/>
              <w:right w:val="single" w:sz="4" w:space="0" w:color="auto"/>
            </w:tcBorders>
            <w:shd w:val="clear" w:color="000000" w:fill="E39193"/>
            <w:noWrap/>
            <w:vAlign w:val="center"/>
            <w:hideMark/>
          </w:tcPr>
          <w:p w14:paraId="04E429D0" w14:textId="77777777" w:rsidR="00702A87" w:rsidRPr="00702A87" w:rsidRDefault="00702A87" w:rsidP="00702A87">
            <w:pPr>
              <w:spacing w:after="0" w:line="240" w:lineRule="auto"/>
              <w:jc w:val="center"/>
              <w:rPr>
                <w:rFonts w:ascii="Times New Roman" w:eastAsia="Times New Roman" w:hAnsi="Times New Roman"/>
                <w:color w:val="000000"/>
                <w:sz w:val="20"/>
                <w:szCs w:val="20"/>
              </w:rPr>
            </w:pPr>
            <w:r>
              <w:rPr>
                <w:rFonts w:ascii="Times New Roman" w:hAnsi="Times New Roman"/>
                <w:color w:val="000000"/>
                <w:sz w:val="20"/>
              </w:rPr>
              <w:t>30.7%</w:t>
            </w:r>
          </w:p>
        </w:tc>
        <w:tc>
          <w:tcPr>
            <w:tcW w:w="811" w:type="pct"/>
            <w:tcBorders>
              <w:top w:val="single" w:sz="4" w:space="0" w:color="auto"/>
              <w:left w:val="single" w:sz="4" w:space="0" w:color="auto"/>
              <w:bottom w:val="single" w:sz="4" w:space="0" w:color="auto"/>
              <w:right w:val="single" w:sz="4" w:space="0" w:color="auto"/>
            </w:tcBorders>
            <w:shd w:val="clear" w:color="000000" w:fill="CA2828"/>
            <w:noWrap/>
            <w:vAlign w:val="center"/>
            <w:hideMark/>
          </w:tcPr>
          <w:p w14:paraId="4024CC81" w14:textId="77777777" w:rsidR="00702A87" w:rsidRPr="00702A87" w:rsidRDefault="00702A87" w:rsidP="00702A87">
            <w:pPr>
              <w:spacing w:after="0" w:line="240" w:lineRule="auto"/>
              <w:jc w:val="center"/>
              <w:rPr>
                <w:rFonts w:ascii="Times New Roman" w:eastAsia="Times New Roman" w:hAnsi="Times New Roman"/>
                <w:color w:val="000000"/>
                <w:sz w:val="20"/>
                <w:szCs w:val="20"/>
              </w:rPr>
            </w:pPr>
            <w:r>
              <w:rPr>
                <w:rFonts w:ascii="Times New Roman" w:hAnsi="Times New Roman"/>
                <w:color w:val="000000"/>
                <w:sz w:val="20"/>
              </w:rPr>
              <w:t>48.6%</w:t>
            </w:r>
          </w:p>
        </w:tc>
        <w:tc>
          <w:tcPr>
            <w:tcW w:w="811" w:type="pct"/>
            <w:tcBorders>
              <w:top w:val="single" w:sz="4" w:space="0" w:color="auto"/>
              <w:left w:val="single" w:sz="4" w:space="0" w:color="auto"/>
              <w:bottom w:val="single" w:sz="4" w:space="0" w:color="auto"/>
              <w:right w:val="single" w:sz="4" w:space="0" w:color="auto"/>
            </w:tcBorders>
            <w:shd w:val="clear" w:color="000000" w:fill="F9ECEF"/>
            <w:noWrap/>
            <w:vAlign w:val="center"/>
            <w:hideMark/>
          </w:tcPr>
          <w:p w14:paraId="5EC656B0" w14:textId="77777777" w:rsidR="00702A87" w:rsidRPr="00702A87" w:rsidRDefault="00702A87" w:rsidP="00702A87">
            <w:pPr>
              <w:spacing w:after="0" w:line="240" w:lineRule="auto"/>
              <w:jc w:val="center"/>
              <w:rPr>
                <w:rFonts w:ascii="Times New Roman" w:eastAsia="Times New Roman" w:hAnsi="Times New Roman"/>
                <w:color w:val="000000"/>
                <w:sz w:val="20"/>
                <w:szCs w:val="20"/>
              </w:rPr>
            </w:pPr>
            <w:r>
              <w:rPr>
                <w:rFonts w:ascii="Times New Roman" w:hAnsi="Times New Roman"/>
                <w:color w:val="000000"/>
                <w:sz w:val="20"/>
              </w:rPr>
              <w:t>15.3%</w:t>
            </w:r>
          </w:p>
        </w:tc>
        <w:tc>
          <w:tcPr>
            <w:tcW w:w="811" w:type="pct"/>
            <w:tcBorders>
              <w:top w:val="single" w:sz="4" w:space="0" w:color="auto"/>
              <w:left w:val="single" w:sz="4" w:space="0" w:color="auto"/>
              <w:bottom w:val="single" w:sz="4" w:space="0" w:color="auto"/>
              <w:right w:val="single" w:sz="4" w:space="0" w:color="auto"/>
            </w:tcBorders>
            <w:shd w:val="clear" w:color="000000" w:fill="D55758"/>
            <w:noWrap/>
            <w:vAlign w:val="center"/>
            <w:hideMark/>
          </w:tcPr>
          <w:p w14:paraId="79F8985E" w14:textId="77777777" w:rsidR="00702A87" w:rsidRPr="00702A87" w:rsidRDefault="00702A87" w:rsidP="00702A87">
            <w:pPr>
              <w:spacing w:after="0" w:line="240" w:lineRule="auto"/>
              <w:jc w:val="center"/>
              <w:rPr>
                <w:rFonts w:ascii="Times New Roman" w:eastAsia="Times New Roman" w:hAnsi="Times New Roman"/>
                <w:color w:val="000000"/>
                <w:sz w:val="20"/>
                <w:szCs w:val="20"/>
              </w:rPr>
            </w:pPr>
            <w:r>
              <w:rPr>
                <w:rFonts w:ascii="Times New Roman" w:hAnsi="Times New Roman"/>
                <w:color w:val="000000"/>
                <w:sz w:val="20"/>
              </w:rPr>
              <w:t>40.7%</w:t>
            </w:r>
          </w:p>
        </w:tc>
        <w:tc>
          <w:tcPr>
            <w:tcW w:w="811" w:type="pct"/>
            <w:tcBorders>
              <w:top w:val="single" w:sz="4" w:space="0" w:color="auto"/>
              <w:left w:val="single" w:sz="4" w:space="0" w:color="auto"/>
              <w:bottom w:val="single" w:sz="4" w:space="0" w:color="auto"/>
              <w:right w:val="nil"/>
            </w:tcBorders>
            <w:shd w:val="clear" w:color="000000" w:fill="DD7779"/>
            <w:noWrap/>
            <w:vAlign w:val="center"/>
            <w:hideMark/>
          </w:tcPr>
          <w:p w14:paraId="50FA46B5" w14:textId="77777777" w:rsidR="00702A87" w:rsidRPr="00702A87" w:rsidRDefault="00702A87" w:rsidP="00702A87">
            <w:pPr>
              <w:spacing w:after="0" w:line="240" w:lineRule="auto"/>
              <w:jc w:val="center"/>
              <w:rPr>
                <w:rFonts w:ascii="Times New Roman" w:eastAsia="Times New Roman" w:hAnsi="Times New Roman"/>
                <w:color w:val="000000"/>
                <w:sz w:val="20"/>
                <w:szCs w:val="20"/>
              </w:rPr>
            </w:pPr>
            <w:r>
              <w:rPr>
                <w:rFonts w:ascii="Times New Roman" w:hAnsi="Times New Roman"/>
                <w:color w:val="000000"/>
                <w:sz w:val="20"/>
              </w:rPr>
              <w:t>35.1%</w:t>
            </w:r>
          </w:p>
        </w:tc>
      </w:tr>
      <w:tr w:rsidR="00702A87" w:rsidRPr="00702A87" w14:paraId="4D8BCFCF" w14:textId="77777777" w:rsidTr="00385866">
        <w:trPr>
          <w:trHeight w:val="320"/>
        </w:trPr>
        <w:tc>
          <w:tcPr>
            <w:tcW w:w="947" w:type="pct"/>
            <w:tcBorders>
              <w:top w:val="nil"/>
              <w:left w:val="nil"/>
              <w:bottom w:val="single" w:sz="4" w:space="0" w:color="auto"/>
              <w:right w:val="single" w:sz="4" w:space="0" w:color="auto"/>
            </w:tcBorders>
            <w:shd w:val="clear" w:color="auto" w:fill="auto"/>
            <w:noWrap/>
            <w:vAlign w:val="center"/>
            <w:hideMark/>
          </w:tcPr>
          <w:p w14:paraId="7D4F328F" w14:textId="77777777" w:rsidR="00702A87" w:rsidRPr="00702A87" w:rsidRDefault="00702A87" w:rsidP="00702A87">
            <w:pPr>
              <w:spacing w:after="0" w:line="240" w:lineRule="auto"/>
              <w:rPr>
                <w:rFonts w:ascii="Times New Roman" w:eastAsia="Times New Roman" w:hAnsi="Times New Roman"/>
                <w:b/>
                <w:bCs/>
                <w:sz w:val="20"/>
                <w:szCs w:val="20"/>
              </w:rPr>
            </w:pPr>
            <w:r>
              <w:rPr>
                <w:rFonts w:ascii="Times New Roman" w:hAnsi="Times New Roman"/>
                <w:b/>
                <w:sz w:val="20"/>
              </w:rPr>
              <w:t>Occupations</w:t>
            </w:r>
          </w:p>
        </w:tc>
        <w:tc>
          <w:tcPr>
            <w:tcW w:w="811" w:type="pct"/>
            <w:tcBorders>
              <w:top w:val="single" w:sz="4" w:space="0" w:color="auto"/>
              <w:left w:val="single" w:sz="4" w:space="0" w:color="auto"/>
              <w:bottom w:val="single" w:sz="4" w:space="0" w:color="auto"/>
              <w:right w:val="single" w:sz="4" w:space="0" w:color="auto"/>
            </w:tcBorders>
            <w:shd w:val="clear" w:color="000000" w:fill="C81F1F"/>
            <w:noWrap/>
            <w:vAlign w:val="center"/>
            <w:hideMark/>
          </w:tcPr>
          <w:p w14:paraId="62538891" w14:textId="77777777" w:rsidR="00702A87" w:rsidRPr="00702A87" w:rsidRDefault="00702A87" w:rsidP="00702A87">
            <w:pPr>
              <w:spacing w:after="0" w:line="240" w:lineRule="auto"/>
              <w:jc w:val="center"/>
              <w:rPr>
                <w:rFonts w:ascii="Times New Roman" w:eastAsia="Times New Roman" w:hAnsi="Times New Roman"/>
                <w:color w:val="000000"/>
                <w:sz w:val="20"/>
                <w:szCs w:val="20"/>
              </w:rPr>
            </w:pPr>
            <w:r>
              <w:rPr>
                <w:rFonts w:ascii="Times New Roman" w:hAnsi="Times New Roman"/>
                <w:color w:val="000000"/>
                <w:sz w:val="20"/>
              </w:rPr>
              <w:t>50.1%</w:t>
            </w:r>
          </w:p>
        </w:tc>
        <w:tc>
          <w:tcPr>
            <w:tcW w:w="811" w:type="pct"/>
            <w:tcBorders>
              <w:top w:val="single" w:sz="4" w:space="0" w:color="auto"/>
              <w:left w:val="single" w:sz="4" w:space="0" w:color="auto"/>
              <w:bottom w:val="single" w:sz="4" w:space="0" w:color="auto"/>
              <w:right w:val="single" w:sz="4" w:space="0" w:color="auto"/>
            </w:tcBorders>
            <w:shd w:val="clear" w:color="000000" w:fill="D24B4C"/>
            <w:noWrap/>
            <w:vAlign w:val="center"/>
            <w:hideMark/>
          </w:tcPr>
          <w:p w14:paraId="39AAFCD1" w14:textId="77777777" w:rsidR="00702A87" w:rsidRPr="00702A87" w:rsidRDefault="00702A87" w:rsidP="00702A87">
            <w:pPr>
              <w:spacing w:after="0" w:line="240" w:lineRule="auto"/>
              <w:jc w:val="center"/>
              <w:rPr>
                <w:rFonts w:ascii="Times New Roman" w:eastAsia="Times New Roman" w:hAnsi="Times New Roman"/>
                <w:color w:val="000000"/>
                <w:sz w:val="20"/>
                <w:szCs w:val="20"/>
              </w:rPr>
            </w:pPr>
            <w:r>
              <w:rPr>
                <w:rFonts w:ascii="Times New Roman" w:hAnsi="Times New Roman"/>
                <w:color w:val="000000"/>
                <w:sz w:val="20"/>
              </w:rPr>
              <w:t>42.7%</w:t>
            </w:r>
          </w:p>
        </w:tc>
        <w:tc>
          <w:tcPr>
            <w:tcW w:w="811" w:type="pct"/>
            <w:tcBorders>
              <w:top w:val="single" w:sz="4" w:space="0" w:color="auto"/>
              <w:left w:val="single" w:sz="4" w:space="0" w:color="auto"/>
              <w:bottom w:val="single" w:sz="4" w:space="0" w:color="auto"/>
              <w:right w:val="single" w:sz="4" w:space="0" w:color="auto"/>
            </w:tcBorders>
            <w:shd w:val="clear" w:color="000000" w:fill="F4D9DC"/>
            <w:noWrap/>
            <w:vAlign w:val="center"/>
            <w:hideMark/>
          </w:tcPr>
          <w:p w14:paraId="6FB1A51B" w14:textId="77777777" w:rsidR="00702A87" w:rsidRPr="00702A87" w:rsidRDefault="00702A87" w:rsidP="00702A87">
            <w:pPr>
              <w:spacing w:after="0" w:line="240" w:lineRule="auto"/>
              <w:jc w:val="center"/>
              <w:rPr>
                <w:rFonts w:ascii="Times New Roman" w:eastAsia="Times New Roman" w:hAnsi="Times New Roman"/>
                <w:color w:val="000000"/>
                <w:sz w:val="20"/>
                <w:szCs w:val="20"/>
              </w:rPr>
            </w:pPr>
            <w:r>
              <w:rPr>
                <w:rFonts w:ascii="Times New Roman" w:hAnsi="Times New Roman"/>
                <w:color w:val="000000"/>
                <w:sz w:val="20"/>
              </w:rPr>
              <w:t>18.5%</w:t>
            </w:r>
          </w:p>
        </w:tc>
        <w:tc>
          <w:tcPr>
            <w:tcW w:w="811" w:type="pct"/>
            <w:tcBorders>
              <w:top w:val="single" w:sz="4" w:space="0" w:color="auto"/>
              <w:left w:val="single" w:sz="4" w:space="0" w:color="auto"/>
              <w:bottom w:val="single" w:sz="4" w:space="0" w:color="auto"/>
              <w:right w:val="single" w:sz="4" w:space="0" w:color="auto"/>
            </w:tcBorders>
            <w:shd w:val="clear" w:color="000000" w:fill="CE3A3B"/>
            <w:noWrap/>
            <w:vAlign w:val="center"/>
            <w:hideMark/>
          </w:tcPr>
          <w:p w14:paraId="0D17EC15" w14:textId="77777777" w:rsidR="00702A87" w:rsidRPr="00702A87" w:rsidRDefault="00702A87" w:rsidP="00702A87">
            <w:pPr>
              <w:spacing w:after="0" w:line="240" w:lineRule="auto"/>
              <w:jc w:val="center"/>
              <w:rPr>
                <w:rFonts w:ascii="Times New Roman" w:eastAsia="Times New Roman" w:hAnsi="Times New Roman"/>
                <w:color w:val="000000"/>
                <w:sz w:val="20"/>
                <w:szCs w:val="20"/>
              </w:rPr>
            </w:pPr>
            <w:r>
              <w:rPr>
                <w:rFonts w:ascii="Times New Roman" w:hAnsi="Times New Roman"/>
                <w:color w:val="000000"/>
                <w:sz w:val="20"/>
              </w:rPr>
              <w:t>45.5%</w:t>
            </w:r>
          </w:p>
        </w:tc>
        <w:tc>
          <w:tcPr>
            <w:tcW w:w="811" w:type="pct"/>
            <w:tcBorders>
              <w:top w:val="single" w:sz="4" w:space="0" w:color="auto"/>
              <w:left w:val="single" w:sz="4" w:space="0" w:color="auto"/>
              <w:bottom w:val="single" w:sz="4" w:space="0" w:color="auto"/>
              <w:right w:val="nil"/>
            </w:tcBorders>
            <w:shd w:val="clear" w:color="000000" w:fill="C00000"/>
            <w:noWrap/>
            <w:vAlign w:val="center"/>
            <w:hideMark/>
          </w:tcPr>
          <w:p w14:paraId="69C88B10" w14:textId="77777777" w:rsidR="00702A87" w:rsidRPr="00702A87" w:rsidRDefault="00702A87" w:rsidP="00702A87">
            <w:pPr>
              <w:spacing w:after="0" w:line="240" w:lineRule="auto"/>
              <w:jc w:val="center"/>
              <w:rPr>
                <w:rFonts w:ascii="Times New Roman" w:eastAsia="Times New Roman" w:hAnsi="Times New Roman"/>
                <w:color w:val="000000"/>
                <w:sz w:val="20"/>
                <w:szCs w:val="20"/>
              </w:rPr>
            </w:pPr>
            <w:r>
              <w:rPr>
                <w:rFonts w:ascii="Times New Roman" w:hAnsi="Times New Roman"/>
                <w:color w:val="000000"/>
                <w:sz w:val="20"/>
              </w:rPr>
              <w:t>55.3%</w:t>
            </w:r>
          </w:p>
        </w:tc>
      </w:tr>
      <w:tr w:rsidR="00702A87" w:rsidRPr="00702A87" w14:paraId="0DC20980" w14:textId="77777777" w:rsidTr="00385866">
        <w:trPr>
          <w:trHeight w:val="320"/>
        </w:trPr>
        <w:tc>
          <w:tcPr>
            <w:tcW w:w="947" w:type="pct"/>
            <w:tcBorders>
              <w:top w:val="nil"/>
              <w:left w:val="nil"/>
              <w:bottom w:val="single" w:sz="4" w:space="0" w:color="auto"/>
              <w:right w:val="single" w:sz="4" w:space="0" w:color="auto"/>
            </w:tcBorders>
            <w:shd w:val="clear" w:color="auto" w:fill="auto"/>
            <w:noWrap/>
            <w:vAlign w:val="center"/>
            <w:hideMark/>
          </w:tcPr>
          <w:p w14:paraId="07B020BA" w14:textId="77777777" w:rsidR="00702A87" w:rsidRPr="00702A87" w:rsidRDefault="00702A87" w:rsidP="00702A87">
            <w:pPr>
              <w:spacing w:after="0" w:line="240" w:lineRule="auto"/>
              <w:rPr>
                <w:rFonts w:ascii="Times New Roman" w:eastAsia="Times New Roman" w:hAnsi="Times New Roman"/>
                <w:b/>
                <w:bCs/>
                <w:sz w:val="20"/>
                <w:szCs w:val="20"/>
              </w:rPr>
            </w:pPr>
            <w:r>
              <w:rPr>
                <w:rFonts w:ascii="Times New Roman" w:hAnsi="Times New Roman"/>
                <w:b/>
                <w:sz w:val="20"/>
              </w:rPr>
              <w:t>Total income</w:t>
            </w:r>
          </w:p>
        </w:tc>
        <w:tc>
          <w:tcPr>
            <w:tcW w:w="811" w:type="pct"/>
            <w:tcBorders>
              <w:top w:val="single" w:sz="4" w:space="0" w:color="auto"/>
              <w:left w:val="single" w:sz="4" w:space="0" w:color="auto"/>
              <w:bottom w:val="single" w:sz="4" w:space="0" w:color="auto"/>
              <w:right w:val="single" w:sz="4" w:space="0" w:color="auto"/>
            </w:tcBorders>
            <w:shd w:val="clear" w:color="000000" w:fill="E49496"/>
            <w:noWrap/>
            <w:vAlign w:val="center"/>
            <w:hideMark/>
          </w:tcPr>
          <w:p w14:paraId="0AE441F6" w14:textId="77777777" w:rsidR="00702A87" w:rsidRPr="00702A87" w:rsidRDefault="00702A87" w:rsidP="00702A87">
            <w:pPr>
              <w:spacing w:after="0" w:line="240" w:lineRule="auto"/>
              <w:jc w:val="center"/>
              <w:rPr>
                <w:rFonts w:ascii="Times New Roman" w:eastAsia="Times New Roman" w:hAnsi="Times New Roman"/>
                <w:color w:val="000000"/>
                <w:sz w:val="20"/>
                <w:szCs w:val="20"/>
              </w:rPr>
            </w:pPr>
            <w:r>
              <w:rPr>
                <w:rFonts w:ascii="Times New Roman" w:hAnsi="Times New Roman"/>
                <w:color w:val="000000"/>
                <w:sz w:val="20"/>
              </w:rPr>
              <w:t>30.2%</w:t>
            </w:r>
          </w:p>
        </w:tc>
        <w:tc>
          <w:tcPr>
            <w:tcW w:w="811" w:type="pct"/>
            <w:tcBorders>
              <w:top w:val="single" w:sz="4" w:space="0" w:color="auto"/>
              <w:left w:val="single" w:sz="4" w:space="0" w:color="auto"/>
              <w:bottom w:val="single" w:sz="4" w:space="0" w:color="auto"/>
              <w:right w:val="single" w:sz="4" w:space="0" w:color="auto"/>
            </w:tcBorders>
            <w:shd w:val="clear" w:color="000000" w:fill="CA2829"/>
            <w:noWrap/>
            <w:vAlign w:val="center"/>
            <w:hideMark/>
          </w:tcPr>
          <w:p w14:paraId="71C32B4B" w14:textId="77777777" w:rsidR="00702A87" w:rsidRPr="00702A87" w:rsidRDefault="00702A87" w:rsidP="00702A87">
            <w:pPr>
              <w:spacing w:after="0" w:line="240" w:lineRule="auto"/>
              <w:jc w:val="center"/>
              <w:rPr>
                <w:rFonts w:ascii="Times New Roman" w:eastAsia="Times New Roman" w:hAnsi="Times New Roman"/>
                <w:color w:val="000000"/>
                <w:sz w:val="20"/>
                <w:szCs w:val="20"/>
              </w:rPr>
            </w:pPr>
            <w:r>
              <w:rPr>
                <w:rFonts w:ascii="Times New Roman" w:hAnsi="Times New Roman"/>
                <w:color w:val="000000"/>
                <w:sz w:val="20"/>
              </w:rPr>
              <w:t>48.5%</w:t>
            </w:r>
          </w:p>
        </w:tc>
        <w:tc>
          <w:tcPr>
            <w:tcW w:w="811" w:type="pct"/>
            <w:tcBorders>
              <w:top w:val="single" w:sz="4" w:space="0" w:color="auto"/>
              <w:left w:val="single" w:sz="4" w:space="0" w:color="auto"/>
              <w:bottom w:val="single" w:sz="4" w:space="0" w:color="auto"/>
              <w:right w:val="single" w:sz="4" w:space="0" w:color="auto"/>
            </w:tcBorders>
            <w:shd w:val="clear" w:color="000000" w:fill="F8EBEE"/>
            <w:noWrap/>
            <w:vAlign w:val="center"/>
            <w:hideMark/>
          </w:tcPr>
          <w:p w14:paraId="6760CD89" w14:textId="77777777" w:rsidR="00702A87" w:rsidRPr="00702A87" w:rsidRDefault="00702A87" w:rsidP="00702A87">
            <w:pPr>
              <w:spacing w:after="0" w:line="240" w:lineRule="auto"/>
              <w:jc w:val="center"/>
              <w:rPr>
                <w:rFonts w:ascii="Times New Roman" w:eastAsia="Times New Roman" w:hAnsi="Times New Roman"/>
                <w:color w:val="000000"/>
                <w:sz w:val="20"/>
                <w:szCs w:val="20"/>
              </w:rPr>
            </w:pPr>
            <w:r>
              <w:rPr>
                <w:rFonts w:ascii="Times New Roman" w:hAnsi="Times New Roman"/>
                <w:color w:val="000000"/>
                <w:sz w:val="20"/>
              </w:rPr>
              <w:t>15.4%</w:t>
            </w:r>
          </w:p>
        </w:tc>
        <w:tc>
          <w:tcPr>
            <w:tcW w:w="811" w:type="pct"/>
            <w:tcBorders>
              <w:top w:val="single" w:sz="4" w:space="0" w:color="auto"/>
              <w:left w:val="single" w:sz="4" w:space="0" w:color="auto"/>
              <w:bottom w:val="single" w:sz="4" w:space="0" w:color="auto"/>
              <w:right w:val="single" w:sz="4" w:space="0" w:color="auto"/>
            </w:tcBorders>
            <w:shd w:val="clear" w:color="000000" w:fill="D55859"/>
            <w:noWrap/>
            <w:vAlign w:val="center"/>
            <w:hideMark/>
          </w:tcPr>
          <w:p w14:paraId="07B9F330" w14:textId="77777777" w:rsidR="00702A87" w:rsidRPr="00702A87" w:rsidRDefault="00702A87" w:rsidP="00702A87">
            <w:pPr>
              <w:spacing w:after="0" w:line="240" w:lineRule="auto"/>
              <w:jc w:val="center"/>
              <w:rPr>
                <w:rFonts w:ascii="Times New Roman" w:eastAsia="Times New Roman" w:hAnsi="Times New Roman"/>
                <w:color w:val="000000"/>
                <w:sz w:val="20"/>
                <w:szCs w:val="20"/>
              </w:rPr>
            </w:pPr>
            <w:r>
              <w:rPr>
                <w:rFonts w:ascii="Times New Roman" w:hAnsi="Times New Roman"/>
                <w:color w:val="000000"/>
                <w:sz w:val="20"/>
              </w:rPr>
              <w:t>40.5%</w:t>
            </w:r>
          </w:p>
        </w:tc>
        <w:tc>
          <w:tcPr>
            <w:tcW w:w="811" w:type="pct"/>
            <w:tcBorders>
              <w:top w:val="single" w:sz="4" w:space="0" w:color="auto"/>
              <w:left w:val="single" w:sz="4" w:space="0" w:color="auto"/>
              <w:bottom w:val="single" w:sz="4" w:space="0" w:color="auto"/>
              <w:right w:val="nil"/>
            </w:tcBorders>
            <w:shd w:val="clear" w:color="000000" w:fill="DD7A7B"/>
            <w:noWrap/>
            <w:vAlign w:val="center"/>
            <w:hideMark/>
          </w:tcPr>
          <w:p w14:paraId="03B339EE" w14:textId="77777777" w:rsidR="00702A87" w:rsidRPr="00702A87" w:rsidRDefault="00702A87" w:rsidP="00702A87">
            <w:pPr>
              <w:spacing w:after="0" w:line="240" w:lineRule="auto"/>
              <w:jc w:val="center"/>
              <w:rPr>
                <w:rFonts w:ascii="Times New Roman" w:eastAsia="Times New Roman" w:hAnsi="Times New Roman"/>
                <w:color w:val="000000"/>
                <w:sz w:val="20"/>
                <w:szCs w:val="20"/>
              </w:rPr>
            </w:pPr>
            <w:r>
              <w:rPr>
                <w:rFonts w:ascii="Times New Roman" w:hAnsi="Times New Roman"/>
                <w:color w:val="000000"/>
                <w:sz w:val="20"/>
              </w:rPr>
              <w:t>34.8%</w:t>
            </w:r>
          </w:p>
        </w:tc>
      </w:tr>
      <w:tr w:rsidR="00702A87" w:rsidRPr="00702A87" w14:paraId="49DBB914" w14:textId="77777777" w:rsidTr="00385866">
        <w:trPr>
          <w:trHeight w:val="320"/>
        </w:trPr>
        <w:tc>
          <w:tcPr>
            <w:tcW w:w="947" w:type="pct"/>
            <w:tcBorders>
              <w:top w:val="nil"/>
              <w:left w:val="nil"/>
              <w:bottom w:val="single" w:sz="4" w:space="0" w:color="auto"/>
              <w:right w:val="single" w:sz="4" w:space="0" w:color="auto"/>
            </w:tcBorders>
            <w:shd w:val="clear" w:color="auto" w:fill="auto"/>
            <w:noWrap/>
            <w:vAlign w:val="center"/>
            <w:hideMark/>
          </w:tcPr>
          <w:p w14:paraId="67F32327" w14:textId="77777777" w:rsidR="00702A87" w:rsidRPr="00702A87" w:rsidRDefault="00702A87" w:rsidP="00702A87">
            <w:pPr>
              <w:spacing w:after="0" w:line="240" w:lineRule="auto"/>
              <w:rPr>
                <w:rFonts w:ascii="Times New Roman" w:eastAsia="Times New Roman" w:hAnsi="Times New Roman"/>
                <w:b/>
                <w:bCs/>
                <w:sz w:val="20"/>
                <w:szCs w:val="20"/>
              </w:rPr>
            </w:pPr>
            <w:r>
              <w:rPr>
                <w:rFonts w:ascii="Times New Roman" w:hAnsi="Times New Roman"/>
                <w:b/>
                <w:sz w:val="20"/>
              </w:rPr>
              <w:t>GOS</w:t>
            </w:r>
          </w:p>
        </w:tc>
        <w:tc>
          <w:tcPr>
            <w:tcW w:w="811" w:type="pct"/>
            <w:tcBorders>
              <w:top w:val="single" w:sz="4" w:space="0" w:color="auto"/>
              <w:left w:val="single" w:sz="4" w:space="0" w:color="auto"/>
              <w:bottom w:val="single" w:sz="4" w:space="0" w:color="auto"/>
              <w:right w:val="single" w:sz="4" w:space="0" w:color="auto"/>
            </w:tcBorders>
            <w:shd w:val="clear" w:color="000000" w:fill="EBB2B4"/>
            <w:noWrap/>
            <w:vAlign w:val="center"/>
            <w:hideMark/>
          </w:tcPr>
          <w:p w14:paraId="75987D16" w14:textId="77777777" w:rsidR="00702A87" w:rsidRPr="00702A87" w:rsidRDefault="00702A87" w:rsidP="00702A87">
            <w:pPr>
              <w:spacing w:after="0" w:line="240" w:lineRule="auto"/>
              <w:jc w:val="center"/>
              <w:rPr>
                <w:rFonts w:ascii="Times New Roman" w:eastAsia="Times New Roman" w:hAnsi="Times New Roman"/>
                <w:color w:val="000000"/>
                <w:sz w:val="20"/>
                <w:szCs w:val="20"/>
              </w:rPr>
            </w:pPr>
            <w:r>
              <w:rPr>
                <w:rFonts w:ascii="Times New Roman" w:hAnsi="Times New Roman"/>
                <w:color w:val="000000"/>
                <w:sz w:val="20"/>
              </w:rPr>
              <w:t>25.1%</w:t>
            </w:r>
          </w:p>
        </w:tc>
        <w:tc>
          <w:tcPr>
            <w:tcW w:w="811" w:type="pct"/>
            <w:tcBorders>
              <w:top w:val="single" w:sz="4" w:space="0" w:color="auto"/>
              <w:left w:val="single" w:sz="4" w:space="0" w:color="auto"/>
              <w:bottom w:val="single" w:sz="4" w:space="0" w:color="auto"/>
              <w:right w:val="single" w:sz="4" w:space="0" w:color="auto"/>
            </w:tcBorders>
            <w:shd w:val="clear" w:color="000000" w:fill="CB2C2C"/>
            <w:noWrap/>
            <w:vAlign w:val="center"/>
            <w:hideMark/>
          </w:tcPr>
          <w:p w14:paraId="7603A0BC" w14:textId="77777777" w:rsidR="00702A87" w:rsidRPr="00702A87" w:rsidRDefault="00702A87" w:rsidP="00702A87">
            <w:pPr>
              <w:spacing w:after="0" w:line="240" w:lineRule="auto"/>
              <w:jc w:val="center"/>
              <w:rPr>
                <w:rFonts w:ascii="Times New Roman" w:eastAsia="Times New Roman" w:hAnsi="Times New Roman"/>
                <w:color w:val="000000"/>
                <w:sz w:val="20"/>
                <w:szCs w:val="20"/>
              </w:rPr>
            </w:pPr>
            <w:r>
              <w:rPr>
                <w:rFonts w:ascii="Times New Roman" w:hAnsi="Times New Roman"/>
                <w:color w:val="000000"/>
                <w:sz w:val="20"/>
              </w:rPr>
              <w:t>48.0%</w:t>
            </w:r>
          </w:p>
        </w:tc>
        <w:tc>
          <w:tcPr>
            <w:tcW w:w="811" w:type="pct"/>
            <w:tcBorders>
              <w:top w:val="single" w:sz="4" w:space="0" w:color="auto"/>
              <w:left w:val="single" w:sz="4" w:space="0" w:color="auto"/>
              <w:bottom w:val="single" w:sz="4" w:space="0" w:color="auto"/>
              <w:right w:val="single" w:sz="4" w:space="0" w:color="auto"/>
            </w:tcBorders>
            <w:shd w:val="clear" w:color="000000" w:fill="F8E8EB"/>
            <w:noWrap/>
            <w:vAlign w:val="center"/>
            <w:hideMark/>
          </w:tcPr>
          <w:p w14:paraId="043A544C" w14:textId="77777777" w:rsidR="00702A87" w:rsidRPr="00702A87" w:rsidRDefault="00702A87" w:rsidP="00702A87">
            <w:pPr>
              <w:spacing w:after="0" w:line="240" w:lineRule="auto"/>
              <w:jc w:val="center"/>
              <w:rPr>
                <w:rFonts w:ascii="Times New Roman" w:eastAsia="Times New Roman" w:hAnsi="Times New Roman"/>
                <w:color w:val="000000"/>
                <w:sz w:val="20"/>
                <w:szCs w:val="20"/>
              </w:rPr>
            </w:pPr>
            <w:r>
              <w:rPr>
                <w:rFonts w:ascii="Times New Roman" w:hAnsi="Times New Roman"/>
                <w:color w:val="000000"/>
                <w:sz w:val="20"/>
              </w:rPr>
              <w:t>16.0%</w:t>
            </w:r>
          </w:p>
        </w:tc>
        <w:tc>
          <w:tcPr>
            <w:tcW w:w="811" w:type="pct"/>
            <w:tcBorders>
              <w:top w:val="single" w:sz="4" w:space="0" w:color="auto"/>
              <w:left w:val="single" w:sz="4" w:space="0" w:color="auto"/>
              <w:bottom w:val="single" w:sz="4" w:space="0" w:color="auto"/>
              <w:right w:val="single" w:sz="4" w:space="0" w:color="auto"/>
            </w:tcBorders>
            <w:shd w:val="clear" w:color="000000" w:fill="D96667"/>
            <w:noWrap/>
            <w:vAlign w:val="center"/>
            <w:hideMark/>
          </w:tcPr>
          <w:p w14:paraId="4CC08ECC" w14:textId="77777777" w:rsidR="00702A87" w:rsidRPr="00702A87" w:rsidRDefault="00702A87" w:rsidP="00702A87">
            <w:pPr>
              <w:spacing w:after="0" w:line="240" w:lineRule="auto"/>
              <w:jc w:val="center"/>
              <w:rPr>
                <w:rFonts w:ascii="Times New Roman" w:eastAsia="Times New Roman" w:hAnsi="Times New Roman"/>
                <w:color w:val="000000"/>
                <w:sz w:val="20"/>
                <w:szCs w:val="20"/>
              </w:rPr>
            </w:pPr>
            <w:r>
              <w:rPr>
                <w:rFonts w:ascii="Times New Roman" w:hAnsi="Times New Roman"/>
                <w:color w:val="000000"/>
                <w:sz w:val="20"/>
              </w:rPr>
              <w:t>38.2%</w:t>
            </w:r>
          </w:p>
        </w:tc>
        <w:tc>
          <w:tcPr>
            <w:tcW w:w="811" w:type="pct"/>
            <w:tcBorders>
              <w:top w:val="single" w:sz="4" w:space="0" w:color="auto"/>
              <w:left w:val="single" w:sz="4" w:space="0" w:color="auto"/>
              <w:bottom w:val="single" w:sz="4" w:space="0" w:color="auto"/>
              <w:right w:val="nil"/>
            </w:tcBorders>
            <w:shd w:val="clear" w:color="000000" w:fill="E39092"/>
            <w:noWrap/>
            <w:vAlign w:val="center"/>
            <w:hideMark/>
          </w:tcPr>
          <w:p w14:paraId="123301E0" w14:textId="77777777" w:rsidR="00702A87" w:rsidRPr="00702A87" w:rsidRDefault="00702A87" w:rsidP="00702A87">
            <w:pPr>
              <w:spacing w:after="0" w:line="240" w:lineRule="auto"/>
              <w:jc w:val="center"/>
              <w:rPr>
                <w:rFonts w:ascii="Times New Roman" w:eastAsia="Times New Roman" w:hAnsi="Times New Roman"/>
                <w:color w:val="000000"/>
                <w:sz w:val="20"/>
                <w:szCs w:val="20"/>
              </w:rPr>
            </w:pPr>
            <w:r>
              <w:rPr>
                <w:rFonts w:ascii="Times New Roman" w:hAnsi="Times New Roman"/>
                <w:color w:val="000000"/>
                <w:sz w:val="20"/>
              </w:rPr>
              <w:t>30.9%</w:t>
            </w:r>
          </w:p>
        </w:tc>
      </w:tr>
      <w:tr w:rsidR="00702A87" w:rsidRPr="00702A87" w14:paraId="5A288A57" w14:textId="77777777" w:rsidTr="00385866">
        <w:trPr>
          <w:trHeight w:val="320"/>
        </w:trPr>
        <w:tc>
          <w:tcPr>
            <w:tcW w:w="947" w:type="pct"/>
            <w:tcBorders>
              <w:top w:val="nil"/>
              <w:left w:val="nil"/>
              <w:bottom w:val="single" w:sz="4" w:space="0" w:color="auto"/>
              <w:right w:val="single" w:sz="4" w:space="0" w:color="auto"/>
            </w:tcBorders>
            <w:shd w:val="clear" w:color="auto" w:fill="auto"/>
            <w:noWrap/>
            <w:vAlign w:val="center"/>
            <w:hideMark/>
          </w:tcPr>
          <w:p w14:paraId="0D5811C8" w14:textId="77777777" w:rsidR="00702A87" w:rsidRPr="00702A87" w:rsidRDefault="00702A87" w:rsidP="00702A87">
            <w:pPr>
              <w:spacing w:after="0" w:line="240" w:lineRule="auto"/>
              <w:rPr>
                <w:rFonts w:ascii="Times New Roman" w:eastAsia="Times New Roman" w:hAnsi="Times New Roman"/>
                <w:b/>
                <w:bCs/>
                <w:sz w:val="20"/>
                <w:szCs w:val="20"/>
              </w:rPr>
            </w:pPr>
            <w:r>
              <w:rPr>
                <w:rFonts w:ascii="Times New Roman" w:hAnsi="Times New Roman"/>
                <w:b/>
                <w:sz w:val="20"/>
              </w:rPr>
              <w:t>Wages</w:t>
            </w:r>
          </w:p>
        </w:tc>
        <w:tc>
          <w:tcPr>
            <w:tcW w:w="811" w:type="pct"/>
            <w:tcBorders>
              <w:top w:val="single" w:sz="4" w:space="0" w:color="auto"/>
              <w:left w:val="single" w:sz="4" w:space="0" w:color="auto"/>
              <w:bottom w:val="single" w:sz="4" w:space="0" w:color="auto"/>
              <w:right w:val="single" w:sz="4" w:space="0" w:color="auto"/>
            </w:tcBorders>
            <w:shd w:val="clear" w:color="000000" w:fill="D55758"/>
            <w:noWrap/>
            <w:vAlign w:val="center"/>
            <w:hideMark/>
          </w:tcPr>
          <w:p w14:paraId="06AECD26" w14:textId="77777777" w:rsidR="00702A87" w:rsidRPr="00702A87" w:rsidRDefault="00702A87" w:rsidP="00702A87">
            <w:pPr>
              <w:spacing w:after="0" w:line="240" w:lineRule="auto"/>
              <w:jc w:val="center"/>
              <w:rPr>
                <w:rFonts w:ascii="Times New Roman" w:eastAsia="Times New Roman" w:hAnsi="Times New Roman"/>
                <w:color w:val="000000"/>
                <w:sz w:val="20"/>
                <w:szCs w:val="20"/>
              </w:rPr>
            </w:pPr>
            <w:r>
              <w:rPr>
                <w:rFonts w:ascii="Times New Roman" w:hAnsi="Times New Roman"/>
                <w:color w:val="000000"/>
                <w:sz w:val="20"/>
              </w:rPr>
              <w:t>40.6%</w:t>
            </w:r>
          </w:p>
        </w:tc>
        <w:tc>
          <w:tcPr>
            <w:tcW w:w="811" w:type="pct"/>
            <w:tcBorders>
              <w:top w:val="single" w:sz="4" w:space="0" w:color="auto"/>
              <w:left w:val="single" w:sz="4" w:space="0" w:color="auto"/>
              <w:bottom w:val="single" w:sz="4" w:space="0" w:color="auto"/>
              <w:right w:val="single" w:sz="4" w:space="0" w:color="auto"/>
            </w:tcBorders>
            <w:shd w:val="clear" w:color="000000" w:fill="C92425"/>
            <w:noWrap/>
            <w:vAlign w:val="center"/>
            <w:hideMark/>
          </w:tcPr>
          <w:p w14:paraId="7B00D3B6" w14:textId="77777777" w:rsidR="00702A87" w:rsidRPr="00702A87" w:rsidRDefault="00702A87" w:rsidP="00702A87">
            <w:pPr>
              <w:spacing w:after="0" w:line="240" w:lineRule="auto"/>
              <w:jc w:val="center"/>
              <w:rPr>
                <w:rFonts w:ascii="Times New Roman" w:eastAsia="Times New Roman" w:hAnsi="Times New Roman"/>
                <w:color w:val="000000"/>
                <w:sz w:val="20"/>
                <w:szCs w:val="20"/>
              </w:rPr>
            </w:pPr>
            <w:r>
              <w:rPr>
                <w:rFonts w:ascii="Times New Roman" w:hAnsi="Times New Roman"/>
                <w:color w:val="000000"/>
                <w:sz w:val="20"/>
              </w:rPr>
              <w:t>49.2%</w:t>
            </w:r>
          </w:p>
        </w:tc>
        <w:tc>
          <w:tcPr>
            <w:tcW w:w="811" w:type="pct"/>
            <w:tcBorders>
              <w:top w:val="single" w:sz="4" w:space="0" w:color="auto"/>
              <w:left w:val="single" w:sz="4" w:space="0" w:color="auto"/>
              <w:bottom w:val="single" w:sz="4" w:space="0" w:color="auto"/>
              <w:right w:val="single" w:sz="4" w:space="0" w:color="auto"/>
            </w:tcBorders>
            <w:shd w:val="clear" w:color="000000" w:fill="FAF4F7"/>
            <w:noWrap/>
            <w:vAlign w:val="center"/>
            <w:hideMark/>
          </w:tcPr>
          <w:p w14:paraId="69C6F410" w14:textId="77777777" w:rsidR="00702A87" w:rsidRPr="00702A87" w:rsidRDefault="00702A87" w:rsidP="00702A87">
            <w:pPr>
              <w:spacing w:after="0" w:line="240" w:lineRule="auto"/>
              <w:jc w:val="center"/>
              <w:rPr>
                <w:rFonts w:ascii="Times New Roman" w:eastAsia="Times New Roman" w:hAnsi="Times New Roman"/>
                <w:color w:val="000000"/>
                <w:sz w:val="20"/>
                <w:szCs w:val="20"/>
              </w:rPr>
            </w:pPr>
            <w:r>
              <w:rPr>
                <w:rFonts w:ascii="Times New Roman" w:hAnsi="Times New Roman"/>
                <w:color w:val="000000"/>
                <w:sz w:val="20"/>
              </w:rPr>
              <w:t>14.0%</w:t>
            </w:r>
          </w:p>
        </w:tc>
        <w:tc>
          <w:tcPr>
            <w:tcW w:w="811" w:type="pct"/>
            <w:tcBorders>
              <w:top w:val="single" w:sz="4" w:space="0" w:color="auto"/>
              <w:left w:val="single" w:sz="4" w:space="0" w:color="auto"/>
              <w:bottom w:val="single" w:sz="4" w:space="0" w:color="auto"/>
              <w:right w:val="single" w:sz="4" w:space="0" w:color="auto"/>
            </w:tcBorders>
            <w:shd w:val="clear" w:color="000000" w:fill="CE3B3C"/>
            <w:noWrap/>
            <w:vAlign w:val="center"/>
            <w:hideMark/>
          </w:tcPr>
          <w:p w14:paraId="108DE8E6" w14:textId="77777777" w:rsidR="00702A87" w:rsidRPr="00702A87" w:rsidRDefault="00702A87" w:rsidP="00702A87">
            <w:pPr>
              <w:spacing w:after="0" w:line="240" w:lineRule="auto"/>
              <w:jc w:val="center"/>
              <w:rPr>
                <w:rFonts w:ascii="Times New Roman" w:eastAsia="Times New Roman" w:hAnsi="Times New Roman"/>
                <w:color w:val="000000"/>
                <w:sz w:val="20"/>
                <w:szCs w:val="20"/>
              </w:rPr>
            </w:pPr>
            <w:r>
              <w:rPr>
                <w:rFonts w:ascii="Times New Roman" w:hAnsi="Times New Roman"/>
                <w:color w:val="000000"/>
                <w:sz w:val="20"/>
              </w:rPr>
              <w:t>45.4%</w:t>
            </w:r>
          </w:p>
        </w:tc>
        <w:tc>
          <w:tcPr>
            <w:tcW w:w="811" w:type="pct"/>
            <w:tcBorders>
              <w:top w:val="single" w:sz="4" w:space="0" w:color="auto"/>
              <w:left w:val="single" w:sz="4" w:space="0" w:color="auto"/>
              <w:bottom w:val="single" w:sz="4" w:space="0" w:color="auto"/>
              <w:right w:val="nil"/>
            </w:tcBorders>
            <w:shd w:val="clear" w:color="000000" w:fill="D14748"/>
            <w:noWrap/>
            <w:vAlign w:val="center"/>
            <w:hideMark/>
          </w:tcPr>
          <w:p w14:paraId="2F2C864A" w14:textId="77777777" w:rsidR="00702A87" w:rsidRPr="00702A87" w:rsidRDefault="00702A87" w:rsidP="00702A87">
            <w:pPr>
              <w:spacing w:after="0" w:line="240" w:lineRule="auto"/>
              <w:jc w:val="center"/>
              <w:rPr>
                <w:rFonts w:ascii="Times New Roman" w:eastAsia="Times New Roman" w:hAnsi="Times New Roman"/>
                <w:color w:val="000000"/>
                <w:sz w:val="20"/>
                <w:szCs w:val="20"/>
              </w:rPr>
            </w:pPr>
            <w:r>
              <w:rPr>
                <w:rFonts w:ascii="Times New Roman" w:hAnsi="Times New Roman"/>
                <w:color w:val="000000"/>
                <w:sz w:val="20"/>
              </w:rPr>
              <w:t>43.3%</w:t>
            </w:r>
          </w:p>
        </w:tc>
      </w:tr>
      <w:tr w:rsidR="00702A87" w:rsidRPr="00702A87" w14:paraId="05188E80" w14:textId="77777777" w:rsidTr="00385866">
        <w:trPr>
          <w:trHeight w:val="320"/>
        </w:trPr>
        <w:tc>
          <w:tcPr>
            <w:tcW w:w="947" w:type="pct"/>
            <w:tcBorders>
              <w:top w:val="nil"/>
              <w:left w:val="nil"/>
              <w:bottom w:val="single" w:sz="4" w:space="0" w:color="auto"/>
              <w:right w:val="single" w:sz="4" w:space="0" w:color="auto"/>
            </w:tcBorders>
            <w:shd w:val="clear" w:color="auto" w:fill="auto"/>
            <w:noWrap/>
            <w:vAlign w:val="center"/>
            <w:hideMark/>
          </w:tcPr>
          <w:p w14:paraId="6050140E" w14:textId="77777777" w:rsidR="00702A87" w:rsidRPr="00702A87" w:rsidRDefault="00702A87" w:rsidP="00702A87">
            <w:pPr>
              <w:spacing w:after="0" w:line="240" w:lineRule="auto"/>
              <w:rPr>
                <w:rFonts w:ascii="Times New Roman" w:eastAsia="Times New Roman" w:hAnsi="Times New Roman"/>
                <w:b/>
                <w:bCs/>
                <w:sz w:val="20"/>
                <w:szCs w:val="20"/>
              </w:rPr>
            </w:pPr>
            <w:r>
              <w:rPr>
                <w:rFonts w:ascii="Times New Roman" w:hAnsi="Times New Roman"/>
                <w:b/>
                <w:sz w:val="20"/>
              </w:rPr>
              <w:t>Taxes</w:t>
            </w:r>
          </w:p>
        </w:tc>
        <w:tc>
          <w:tcPr>
            <w:tcW w:w="811" w:type="pct"/>
            <w:tcBorders>
              <w:top w:val="single" w:sz="4" w:space="0" w:color="auto"/>
              <w:left w:val="single" w:sz="4" w:space="0" w:color="auto"/>
              <w:bottom w:val="single" w:sz="4" w:space="0" w:color="auto"/>
              <w:right w:val="single" w:sz="4" w:space="0" w:color="auto"/>
            </w:tcBorders>
            <w:shd w:val="clear" w:color="000000" w:fill="E28D8F"/>
            <w:noWrap/>
            <w:vAlign w:val="center"/>
            <w:hideMark/>
          </w:tcPr>
          <w:p w14:paraId="7B1E3EDD" w14:textId="77777777" w:rsidR="00702A87" w:rsidRPr="00702A87" w:rsidRDefault="00702A87" w:rsidP="00702A87">
            <w:pPr>
              <w:spacing w:after="0" w:line="240" w:lineRule="auto"/>
              <w:jc w:val="center"/>
              <w:rPr>
                <w:rFonts w:ascii="Times New Roman" w:eastAsia="Times New Roman" w:hAnsi="Times New Roman"/>
                <w:color w:val="000000"/>
                <w:sz w:val="20"/>
                <w:szCs w:val="20"/>
              </w:rPr>
            </w:pPr>
            <w:r>
              <w:rPr>
                <w:rFonts w:ascii="Times New Roman" w:hAnsi="Times New Roman"/>
                <w:color w:val="000000"/>
                <w:sz w:val="20"/>
              </w:rPr>
              <w:t>31.4%</w:t>
            </w:r>
          </w:p>
        </w:tc>
        <w:tc>
          <w:tcPr>
            <w:tcW w:w="811" w:type="pct"/>
            <w:tcBorders>
              <w:top w:val="single" w:sz="4" w:space="0" w:color="auto"/>
              <w:left w:val="single" w:sz="4" w:space="0" w:color="auto"/>
              <w:bottom w:val="single" w:sz="4" w:space="0" w:color="auto"/>
              <w:right w:val="single" w:sz="4" w:space="0" w:color="auto"/>
            </w:tcBorders>
            <w:shd w:val="clear" w:color="000000" w:fill="E08788"/>
            <w:noWrap/>
            <w:vAlign w:val="center"/>
            <w:hideMark/>
          </w:tcPr>
          <w:p w14:paraId="525EA60F" w14:textId="77777777" w:rsidR="00702A87" w:rsidRPr="00702A87" w:rsidRDefault="00702A87" w:rsidP="00702A87">
            <w:pPr>
              <w:spacing w:after="0" w:line="240" w:lineRule="auto"/>
              <w:jc w:val="center"/>
              <w:rPr>
                <w:rFonts w:ascii="Times New Roman" w:eastAsia="Times New Roman" w:hAnsi="Times New Roman"/>
                <w:color w:val="000000"/>
                <w:sz w:val="20"/>
                <w:szCs w:val="20"/>
              </w:rPr>
            </w:pPr>
            <w:r>
              <w:rPr>
                <w:rFonts w:ascii="Times New Roman" w:hAnsi="Times New Roman"/>
                <w:color w:val="000000"/>
                <w:sz w:val="20"/>
              </w:rPr>
              <w:t>32.6%</w:t>
            </w:r>
          </w:p>
        </w:tc>
        <w:tc>
          <w:tcPr>
            <w:tcW w:w="811" w:type="pct"/>
            <w:tcBorders>
              <w:top w:val="single" w:sz="4" w:space="0" w:color="auto"/>
              <w:left w:val="single" w:sz="4" w:space="0" w:color="auto"/>
              <w:bottom w:val="single" w:sz="4" w:space="0" w:color="auto"/>
              <w:right w:val="single" w:sz="4" w:space="0" w:color="auto"/>
            </w:tcBorders>
            <w:shd w:val="clear" w:color="000000" w:fill="FCFCFF"/>
            <w:noWrap/>
            <w:vAlign w:val="center"/>
            <w:hideMark/>
          </w:tcPr>
          <w:p w14:paraId="14157E5F" w14:textId="77777777" w:rsidR="00702A87" w:rsidRPr="00702A87" w:rsidRDefault="00702A87" w:rsidP="00702A87">
            <w:pPr>
              <w:spacing w:after="0" w:line="240" w:lineRule="auto"/>
              <w:jc w:val="center"/>
              <w:rPr>
                <w:rFonts w:ascii="Times New Roman" w:eastAsia="Times New Roman" w:hAnsi="Times New Roman"/>
                <w:color w:val="000000"/>
                <w:sz w:val="20"/>
                <w:szCs w:val="20"/>
              </w:rPr>
            </w:pPr>
            <w:r>
              <w:rPr>
                <w:rFonts w:ascii="Times New Roman" w:hAnsi="Times New Roman"/>
                <w:color w:val="000000"/>
                <w:sz w:val="20"/>
              </w:rPr>
              <w:t>12.6%</w:t>
            </w:r>
          </w:p>
        </w:tc>
        <w:tc>
          <w:tcPr>
            <w:tcW w:w="811" w:type="pct"/>
            <w:tcBorders>
              <w:top w:val="single" w:sz="4" w:space="0" w:color="auto"/>
              <w:left w:val="single" w:sz="4" w:space="0" w:color="auto"/>
              <w:bottom w:val="single" w:sz="4" w:space="0" w:color="auto"/>
              <w:right w:val="single" w:sz="4" w:space="0" w:color="auto"/>
            </w:tcBorders>
            <w:shd w:val="clear" w:color="000000" w:fill="D34E4F"/>
            <w:noWrap/>
            <w:vAlign w:val="center"/>
            <w:hideMark/>
          </w:tcPr>
          <w:p w14:paraId="179DABBA" w14:textId="77777777" w:rsidR="00702A87" w:rsidRPr="00702A87" w:rsidRDefault="00702A87" w:rsidP="00702A87">
            <w:pPr>
              <w:spacing w:after="0" w:line="240" w:lineRule="auto"/>
              <w:jc w:val="center"/>
              <w:rPr>
                <w:rFonts w:ascii="Times New Roman" w:eastAsia="Times New Roman" w:hAnsi="Times New Roman"/>
                <w:color w:val="000000"/>
                <w:sz w:val="20"/>
                <w:szCs w:val="20"/>
              </w:rPr>
            </w:pPr>
            <w:r>
              <w:rPr>
                <w:rFonts w:ascii="Times New Roman" w:hAnsi="Times New Roman"/>
                <w:color w:val="000000"/>
                <w:sz w:val="20"/>
              </w:rPr>
              <w:t>42.1%</w:t>
            </w:r>
          </w:p>
        </w:tc>
        <w:tc>
          <w:tcPr>
            <w:tcW w:w="811" w:type="pct"/>
            <w:tcBorders>
              <w:top w:val="single" w:sz="4" w:space="0" w:color="auto"/>
              <w:left w:val="single" w:sz="4" w:space="0" w:color="auto"/>
              <w:bottom w:val="single" w:sz="4" w:space="0" w:color="auto"/>
              <w:right w:val="nil"/>
            </w:tcBorders>
            <w:shd w:val="clear" w:color="000000" w:fill="CD3536"/>
            <w:noWrap/>
            <w:vAlign w:val="center"/>
            <w:hideMark/>
          </w:tcPr>
          <w:p w14:paraId="16D1AE4D" w14:textId="77777777" w:rsidR="00702A87" w:rsidRPr="00702A87" w:rsidRDefault="00702A87" w:rsidP="00702A87">
            <w:pPr>
              <w:spacing w:after="0" w:line="240" w:lineRule="auto"/>
              <w:jc w:val="center"/>
              <w:rPr>
                <w:rFonts w:ascii="Times New Roman" w:eastAsia="Times New Roman" w:hAnsi="Times New Roman"/>
                <w:color w:val="000000"/>
                <w:sz w:val="20"/>
                <w:szCs w:val="20"/>
              </w:rPr>
            </w:pPr>
            <w:r>
              <w:rPr>
                <w:rFonts w:ascii="Times New Roman" w:hAnsi="Times New Roman"/>
                <w:color w:val="000000"/>
                <w:sz w:val="20"/>
              </w:rPr>
              <w:t>46.4%</w:t>
            </w:r>
          </w:p>
        </w:tc>
      </w:tr>
      <w:tr w:rsidR="00702A87" w:rsidRPr="00702A87" w14:paraId="4E2CFC14" w14:textId="77777777" w:rsidTr="00385866">
        <w:trPr>
          <w:trHeight w:val="320"/>
        </w:trPr>
        <w:tc>
          <w:tcPr>
            <w:tcW w:w="947" w:type="pct"/>
            <w:tcBorders>
              <w:top w:val="nil"/>
              <w:left w:val="nil"/>
              <w:bottom w:val="single" w:sz="4" w:space="0" w:color="auto"/>
              <w:right w:val="single" w:sz="4" w:space="0" w:color="auto"/>
            </w:tcBorders>
            <w:shd w:val="clear" w:color="auto" w:fill="auto"/>
            <w:noWrap/>
            <w:vAlign w:val="center"/>
            <w:hideMark/>
          </w:tcPr>
          <w:p w14:paraId="1A1F85C4" w14:textId="77777777" w:rsidR="00702A87" w:rsidRPr="00702A87" w:rsidRDefault="00702A87" w:rsidP="00702A87">
            <w:pPr>
              <w:spacing w:after="0" w:line="240" w:lineRule="auto"/>
              <w:rPr>
                <w:rFonts w:ascii="Times New Roman" w:eastAsia="Times New Roman" w:hAnsi="Times New Roman"/>
                <w:b/>
                <w:bCs/>
                <w:sz w:val="20"/>
                <w:szCs w:val="20"/>
              </w:rPr>
            </w:pPr>
            <w:r>
              <w:rPr>
                <w:rFonts w:ascii="Times New Roman" w:hAnsi="Times New Roman"/>
                <w:b/>
                <w:sz w:val="20"/>
              </w:rPr>
              <w:t>ICMS</w:t>
            </w:r>
          </w:p>
        </w:tc>
        <w:tc>
          <w:tcPr>
            <w:tcW w:w="811" w:type="pct"/>
            <w:tcBorders>
              <w:top w:val="single" w:sz="4" w:space="0" w:color="auto"/>
              <w:left w:val="single" w:sz="4" w:space="0" w:color="auto"/>
              <w:bottom w:val="single" w:sz="4" w:space="0" w:color="auto"/>
              <w:right w:val="single" w:sz="4" w:space="0" w:color="auto"/>
            </w:tcBorders>
            <w:shd w:val="clear" w:color="000000" w:fill="F4D9DB"/>
            <w:noWrap/>
            <w:vAlign w:val="center"/>
            <w:hideMark/>
          </w:tcPr>
          <w:p w14:paraId="465B6BB2" w14:textId="77777777" w:rsidR="00702A87" w:rsidRPr="00702A87" w:rsidRDefault="00702A87" w:rsidP="00702A87">
            <w:pPr>
              <w:spacing w:after="0" w:line="240" w:lineRule="auto"/>
              <w:jc w:val="center"/>
              <w:rPr>
                <w:rFonts w:ascii="Times New Roman" w:eastAsia="Times New Roman" w:hAnsi="Times New Roman"/>
                <w:color w:val="000000"/>
                <w:sz w:val="20"/>
                <w:szCs w:val="20"/>
              </w:rPr>
            </w:pPr>
            <w:r>
              <w:rPr>
                <w:rFonts w:ascii="Times New Roman" w:hAnsi="Times New Roman"/>
                <w:color w:val="000000"/>
                <w:sz w:val="20"/>
              </w:rPr>
              <w:t>18.6%</w:t>
            </w:r>
          </w:p>
        </w:tc>
        <w:tc>
          <w:tcPr>
            <w:tcW w:w="811" w:type="pct"/>
            <w:tcBorders>
              <w:top w:val="single" w:sz="4" w:space="0" w:color="auto"/>
              <w:left w:val="single" w:sz="4" w:space="0" w:color="auto"/>
              <w:bottom w:val="single" w:sz="4" w:space="0" w:color="auto"/>
              <w:right w:val="single" w:sz="4" w:space="0" w:color="auto"/>
            </w:tcBorders>
            <w:shd w:val="clear" w:color="000000" w:fill="EFC4C6"/>
            <w:noWrap/>
            <w:vAlign w:val="center"/>
            <w:hideMark/>
          </w:tcPr>
          <w:p w14:paraId="3C3F6E0C" w14:textId="77777777" w:rsidR="00702A87" w:rsidRPr="00702A87" w:rsidRDefault="00702A87" w:rsidP="00702A87">
            <w:pPr>
              <w:spacing w:after="0" w:line="240" w:lineRule="auto"/>
              <w:jc w:val="center"/>
              <w:rPr>
                <w:rFonts w:ascii="Times New Roman" w:eastAsia="Times New Roman" w:hAnsi="Times New Roman"/>
                <w:color w:val="000000"/>
                <w:sz w:val="20"/>
                <w:szCs w:val="20"/>
              </w:rPr>
            </w:pPr>
            <w:r>
              <w:rPr>
                <w:rFonts w:ascii="Times New Roman" w:hAnsi="Times New Roman"/>
                <w:color w:val="000000"/>
                <w:sz w:val="20"/>
              </w:rPr>
              <w:t>22.2%</w:t>
            </w:r>
          </w:p>
        </w:tc>
        <w:tc>
          <w:tcPr>
            <w:tcW w:w="811" w:type="pct"/>
            <w:tcBorders>
              <w:top w:val="single" w:sz="4" w:space="0" w:color="auto"/>
              <w:left w:val="single" w:sz="4" w:space="0" w:color="auto"/>
              <w:bottom w:val="single" w:sz="4" w:space="0" w:color="auto"/>
              <w:right w:val="single" w:sz="4" w:space="0" w:color="auto"/>
            </w:tcBorders>
            <w:shd w:val="clear" w:color="000000" w:fill="FBF7FA"/>
            <w:noWrap/>
            <w:vAlign w:val="center"/>
            <w:hideMark/>
          </w:tcPr>
          <w:p w14:paraId="686D88CA" w14:textId="77777777" w:rsidR="00702A87" w:rsidRPr="00702A87" w:rsidRDefault="00702A87" w:rsidP="00702A87">
            <w:pPr>
              <w:spacing w:after="0" w:line="240" w:lineRule="auto"/>
              <w:jc w:val="center"/>
              <w:rPr>
                <w:rFonts w:ascii="Times New Roman" w:eastAsia="Times New Roman" w:hAnsi="Times New Roman"/>
                <w:color w:val="000000"/>
                <w:sz w:val="20"/>
                <w:szCs w:val="20"/>
              </w:rPr>
            </w:pPr>
            <w:r>
              <w:rPr>
                <w:rFonts w:ascii="Times New Roman" w:hAnsi="Times New Roman"/>
                <w:color w:val="000000"/>
                <w:sz w:val="20"/>
              </w:rPr>
              <w:t>13.4%</w:t>
            </w:r>
          </w:p>
        </w:tc>
        <w:tc>
          <w:tcPr>
            <w:tcW w:w="811" w:type="pct"/>
            <w:tcBorders>
              <w:top w:val="single" w:sz="4" w:space="0" w:color="auto"/>
              <w:left w:val="single" w:sz="4" w:space="0" w:color="auto"/>
              <w:bottom w:val="single" w:sz="4" w:space="0" w:color="auto"/>
              <w:right w:val="single" w:sz="4" w:space="0" w:color="auto"/>
            </w:tcBorders>
            <w:shd w:val="clear" w:color="000000" w:fill="DD797B"/>
            <w:noWrap/>
            <w:vAlign w:val="center"/>
            <w:hideMark/>
          </w:tcPr>
          <w:p w14:paraId="4D25A3B2" w14:textId="77777777" w:rsidR="00702A87" w:rsidRPr="00702A87" w:rsidRDefault="00702A87" w:rsidP="00702A87">
            <w:pPr>
              <w:spacing w:after="0" w:line="240" w:lineRule="auto"/>
              <w:jc w:val="center"/>
              <w:rPr>
                <w:rFonts w:ascii="Times New Roman" w:eastAsia="Times New Roman" w:hAnsi="Times New Roman"/>
                <w:color w:val="000000"/>
                <w:sz w:val="20"/>
                <w:szCs w:val="20"/>
              </w:rPr>
            </w:pPr>
            <w:r>
              <w:rPr>
                <w:rFonts w:ascii="Times New Roman" w:hAnsi="Times New Roman"/>
                <w:color w:val="000000"/>
                <w:sz w:val="20"/>
              </w:rPr>
              <w:t>34.8%</w:t>
            </w:r>
          </w:p>
        </w:tc>
        <w:tc>
          <w:tcPr>
            <w:tcW w:w="811" w:type="pct"/>
            <w:tcBorders>
              <w:top w:val="single" w:sz="4" w:space="0" w:color="auto"/>
              <w:left w:val="single" w:sz="4" w:space="0" w:color="auto"/>
              <w:bottom w:val="single" w:sz="4" w:space="0" w:color="auto"/>
              <w:right w:val="nil"/>
            </w:tcBorders>
            <w:shd w:val="clear" w:color="000000" w:fill="D86162"/>
            <w:noWrap/>
            <w:vAlign w:val="center"/>
            <w:hideMark/>
          </w:tcPr>
          <w:p w14:paraId="3805B63C" w14:textId="77777777" w:rsidR="00702A87" w:rsidRPr="00702A87" w:rsidRDefault="00702A87" w:rsidP="00702A87">
            <w:pPr>
              <w:spacing w:after="0" w:line="240" w:lineRule="auto"/>
              <w:jc w:val="center"/>
              <w:rPr>
                <w:rFonts w:ascii="Times New Roman" w:eastAsia="Times New Roman" w:hAnsi="Times New Roman"/>
                <w:color w:val="000000"/>
                <w:sz w:val="20"/>
                <w:szCs w:val="20"/>
              </w:rPr>
            </w:pPr>
            <w:r>
              <w:rPr>
                <w:rFonts w:ascii="Times New Roman" w:hAnsi="Times New Roman"/>
                <w:color w:val="000000"/>
                <w:sz w:val="20"/>
              </w:rPr>
              <w:t>38.9%</w:t>
            </w:r>
          </w:p>
        </w:tc>
      </w:tr>
      <w:tr w:rsidR="00702A87" w:rsidRPr="00702A87" w14:paraId="4731B83D" w14:textId="77777777" w:rsidTr="00385866">
        <w:trPr>
          <w:trHeight w:val="340"/>
        </w:trPr>
        <w:tc>
          <w:tcPr>
            <w:tcW w:w="947" w:type="pct"/>
            <w:tcBorders>
              <w:top w:val="nil"/>
              <w:left w:val="nil"/>
              <w:bottom w:val="double" w:sz="6" w:space="0" w:color="auto"/>
              <w:right w:val="single" w:sz="4" w:space="0" w:color="auto"/>
            </w:tcBorders>
            <w:shd w:val="clear" w:color="auto" w:fill="auto"/>
            <w:noWrap/>
            <w:vAlign w:val="center"/>
            <w:hideMark/>
          </w:tcPr>
          <w:p w14:paraId="2ECF74C4" w14:textId="77777777" w:rsidR="00702A87" w:rsidRPr="00702A87" w:rsidRDefault="00702A87" w:rsidP="00702A87">
            <w:pPr>
              <w:spacing w:after="0" w:line="240" w:lineRule="auto"/>
              <w:rPr>
                <w:rFonts w:ascii="Times New Roman" w:eastAsia="Times New Roman" w:hAnsi="Times New Roman"/>
                <w:b/>
                <w:bCs/>
                <w:sz w:val="20"/>
                <w:szCs w:val="20"/>
              </w:rPr>
            </w:pPr>
            <w:r>
              <w:rPr>
                <w:rFonts w:ascii="Times New Roman" w:hAnsi="Times New Roman"/>
                <w:b/>
                <w:sz w:val="20"/>
              </w:rPr>
              <w:t>Production</w:t>
            </w:r>
          </w:p>
        </w:tc>
        <w:tc>
          <w:tcPr>
            <w:tcW w:w="811" w:type="pct"/>
            <w:tcBorders>
              <w:top w:val="single" w:sz="4" w:space="0" w:color="auto"/>
              <w:left w:val="single" w:sz="4" w:space="0" w:color="auto"/>
              <w:bottom w:val="double" w:sz="6" w:space="0" w:color="auto"/>
              <w:right w:val="single" w:sz="4" w:space="0" w:color="auto"/>
            </w:tcBorders>
            <w:shd w:val="clear" w:color="000000" w:fill="E49799"/>
            <w:noWrap/>
            <w:vAlign w:val="center"/>
            <w:hideMark/>
          </w:tcPr>
          <w:p w14:paraId="67BF5373" w14:textId="77777777" w:rsidR="00702A87" w:rsidRPr="00702A87" w:rsidRDefault="00702A87" w:rsidP="00702A87">
            <w:pPr>
              <w:spacing w:after="0" w:line="240" w:lineRule="auto"/>
              <w:jc w:val="center"/>
              <w:rPr>
                <w:rFonts w:ascii="Times New Roman" w:eastAsia="Times New Roman" w:hAnsi="Times New Roman"/>
                <w:color w:val="000000"/>
                <w:sz w:val="20"/>
                <w:szCs w:val="20"/>
              </w:rPr>
            </w:pPr>
            <w:r>
              <w:rPr>
                <w:rFonts w:ascii="Times New Roman" w:hAnsi="Times New Roman"/>
                <w:color w:val="000000"/>
                <w:sz w:val="20"/>
              </w:rPr>
              <w:t>29.7%</w:t>
            </w:r>
          </w:p>
        </w:tc>
        <w:tc>
          <w:tcPr>
            <w:tcW w:w="811" w:type="pct"/>
            <w:tcBorders>
              <w:top w:val="single" w:sz="4" w:space="0" w:color="auto"/>
              <w:left w:val="single" w:sz="4" w:space="0" w:color="auto"/>
              <w:bottom w:val="double" w:sz="6" w:space="0" w:color="auto"/>
              <w:right w:val="single" w:sz="4" w:space="0" w:color="auto"/>
            </w:tcBorders>
            <w:shd w:val="clear" w:color="000000" w:fill="DA6A6C"/>
            <w:noWrap/>
            <w:vAlign w:val="center"/>
            <w:hideMark/>
          </w:tcPr>
          <w:p w14:paraId="31F15139" w14:textId="77777777" w:rsidR="00702A87" w:rsidRPr="00702A87" w:rsidRDefault="00702A87" w:rsidP="00702A87">
            <w:pPr>
              <w:spacing w:after="0" w:line="240" w:lineRule="auto"/>
              <w:jc w:val="center"/>
              <w:rPr>
                <w:rFonts w:ascii="Times New Roman" w:eastAsia="Times New Roman" w:hAnsi="Times New Roman"/>
                <w:color w:val="000000"/>
                <w:sz w:val="20"/>
                <w:szCs w:val="20"/>
              </w:rPr>
            </w:pPr>
            <w:r>
              <w:rPr>
                <w:rFonts w:ascii="Times New Roman" w:hAnsi="Times New Roman"/>
                <w:color w:val="000000"/>
                <w:sz w:val="20"/>
              </w:rPr>
              <w:t>37.3%</w:t>
            </w:r>
          </w:p>
        </w:tc>
        <w:tc>
          <w:tcPr>
            <w:tcW w:w="811" w:type="pct"/>
            <w:tcBorders>
              <w:top w:val="single" w:sz="4" w:space="0" w:color="auto"/>
              <w:left w:val="single" w:sz="4" w:space="0" w:color="auto"/>
              <w:bottom w:val="double" w:sz="6" w:space="0" w:color="auto"/>
              <w:right w:val="single" w:sz="4" w:space="0" w:color="auto"/>
            </w:tcBorders>
            <w:shd w:val="clear" w:color="000000" w:fill="FAF1F4"/>
            <w:noWrap/>
            <w:vAlign w:val="center"/>
            <w:hideMark/>
          </w:tcPr>
          <w:p w14:paraId="11C5C782" w14:textId="77777777" w:rsidR="00702A87" w:rsidRPr="00702A87" w:rsidRDefault="00702A87" w:rsidP="00702A87">
            <w:pPr>
              <w:spacing w:after="0" w:line="240" w:lineRule="auto"/>
              <w:jc w:val="center"/>
              <w:rPr>
                <w:rFonts w:ascii="Times New Roman" w:eastAsia="Times New Roman" w:hAnsi="Times New Roman"/>
                <w:color w:val="000000"/>
                <w:sz w:val="20"/>
                <w:szCs w:val="20"/>
              </w:rPr>
            </w:pPr>
            <w:r>
              <w:rPr>
                <w:rFonts w:ascii="Times New Roman" w:hAnsi="Times New Roman"/>
                <w:color w:val="000000"/>
                <w:sz w:val="20"/>
              </w:rPr>
              <w:t>14.6%</w:t>
            </w:r>
          </w:p>
        </w:tc>
        <w:tc>
          <w:tcPr>
            <w:tcW w:w="811" w:type="pct"/>
            <w:tcBorders>
              <w:top w:val="single" w:sz="4" w:space="0" w:color="auto"/>
              <w:left w:val="single" w:sz="4" w:space="0" w:color="auto"/>
              <w:bottom w:val="double" w:sz="6" w:space="0" w:color="auto"/>
              <w:right w:val="single" w:sz="4" w:space="0" w:color="auto"/>
            </w:tcBorders>
            <w:shd w:val="clear" w:color="000000" w:fill="D86263"/>
            <w:noWrap/>
            <w:vAlign w:val="center"/>
            <w:hideMark/>
          </w:tcPr>
          <w:p w14:paraId="6B838ADC" w14:textId="77777777" w:rsidR="00702A87" w:rsidRPr="00702A87" w:rsidRDefault="00702A87" w:rsidP="00702A87">
            <w:pPr>
              <w:spacing w:after="0" w:line="240" w:lineRule="auto"/>
              <w:jc w:val="center"/>
              <w:rPr>
                <w:rFonts w:ascii="Times New Roman" w:eastAsia="Times New Roman" w:hAnsi="Times New Roman"/>
                <w:color w:val="000000"/>
                <w:sz w:val="20"/>
                <w:szCs w:val="20"/>
              </w:rPr>
            </w:pPr>
            <w:r>
              <w:rPr>
                <w:rFonts w:ascii="Times New Roman" w:hAnsi="Times New Roman"/>
                <w:color w:val="000000"/>
                <w:sz w:val="20"/>
              </w:rPr>
              <w:t>38.8%</w:t>
            </w:r>
          </w:p>
        </w:tc>
        <w:tc>
          <w:tcPr>
            <w:tcW w:w="811" w:type="pct"/>
            <w:tcBorders>
              <w:top w:val="single" w:sz="4" w:space="0" w:color="auto"/>
              <w:left w:val="single" w:sz="4" w:space="0" w:color="auto"/>
              <w:bottom w:val="double" w:sz="6" w:space="0" w:color="auto"/>
              <w:right w:val="nil"/>
            </w:tcBorders>
            <w:shd w:val="clear" w:color="000000" w:fill="D6595A"/>
            <w:noWrap/>
            <w:vAlign w:val="center"/>
            <w:hideMark/>
          </w:tcPr>
          <w:p w14:paraId="30730273" w14:textId="77777777" w:rsidR="00702A87" w:rsidRPr="00702A87" w:rsidRDefault="00702A87" w:rsidP="00702A87">
            <w:pPr>
              <w:spacing w:after="0" w:line="240" w:lineRule="auto"/>
              <w:jc w:val="center"/>
              <w:rPr>
                <w:rFonts w:ascii="Times New Roman" w:eastAsia="Times New Roman" w:hAnsi="Times New Roman"/>
                <w:color w:val="000000"/>
                <w:sz w:val="20"/>
                <w:szCs w:val="20"/>
              </w:rPr>
            </w:pPr>
            <w:r>
              <w:rPr>
                <w:rFonts w:ascii="Times New Roman" w:hAnsi="Times New Roman"/>
                <w:color w:val="000000"/>
                <w:sz w:val="20"/>
              </w:rPr>
              <w:t>40.2%</w:t>
            </w:r>
          </w:p>
        </w:tc>
      </w:tr>
    </w:tbl>
    <w:p w14:paraId="5975DA6B" w14:textId="77777777" w:rsidR="00702A87" w:rsidRPr="00702A87" w:rsidRDefault="00702A87" w:rsidP="00702A87">
      <w:pPr>
        <w:autoSpaceDE w:val="0"/>
        <w:autoSpaceDN w:val="0"/>
        <w:adjustRightInd w:val="0"/>
        <w:spacing w:after="0" w:line="260" w:lineRule="atLeast"/>
        <w:jc w:val="center"/>
        <w:textAlignment w:val="center"/>
        <w:rPr>
          <w:rFonts w:ascii="Times New Roman" w:hAnsi="Times New Roman"/>
          <w:color w:val="000000"/>
          <w:sz w:val="18"/>
          <w:szCs w:val="18"/>
        </w:rPr>
      </w:pPr>
      <w:r>
        <w:rPr>
          <w:rFonts w:ascii="Times New Roman" w:hAnsi="Times New Roman"/>
          <w:color w:val="000000"/>
          <w:sz w:val="18"/>
        </w:rPr>
        <w:t>Source: Original work based on the 2013 Regional IOT.</w:t>
      </w:r>
    </w:p>
    <w:p w14:paraId="2691FA6D" w14:textId="5E963C45" w:rsidR="00702A87" w:rsidRPr="00702A87" w:rsidRDefault="0018632E" w:rsidP="00702A87">
      <w:pPr>
        <w:autoSpaceDE w:val="0"/>
        <w:autoSpaceDN w:val="0"/>
        <w:adjustRightInd w:val="0"/>
        <w:spacing w:before="60" w:after="60" w:line="240" w:lineRule="auto"/>
        <w:ind w:firstLine="567"/>
        <w:jc w:val="both"/>
        <w:textAlignment w:val="center"/>
        <w:rPr>
          <w:rFonts w:ascii="Times New Roman" w:hAnsi="Times New Roman" w:cs="Baramond"/>
          <w:color w:val="000000"/>
        </w:rPr>
      </w:pPr>
      <w:r>
        <w:rPr>
          <w:rFonts w:ascii="Times New Roman" w:hAnsi="Times New Roman"/>
          <w:color w:val="000000"/>
        </w:rPr>
        <w:lastRenderedPageBreak/>
        <w:t>The</w:t>
      </w:r>
      <w:r w:rsidR="00702A87">
        <w:rPr>
          <w:rFonts w:ascii="Times New Roman" w:hAnsi="Times New Roman"/>
          <w:color w:val="000000"/>
        </w:rPr>
        <w:t xml:space="preserve"> table can be interpreted as follows: the value of 30.7% for Value Added (VA) in the North region means that 30.7% (</w:t>
      </w:r>
      <w:r w:rsidR="00FD318E">
        <w:rPr>
          <w:rFonts w:ascii="Times New Roman" w:hAnsi="Times New Roman"/>
          <w:color w:val="000000"/>
        </w:rPr>
        <w:t>BRL</w:t>
      </w:r>
      <w:r w:rsidR="00702A87">
        <w:rPr>
          <w:rFonts w:ascii="Times New Roman" w:hAnsi="Times New Roman"/>
          <w:color w:val="000000"/>
        </w:rPr>
        <w:t xml:space="preserve"> 8.4 million) of the </w:t>
      </w:r>
      <w:r w:rsidR="00FD318E">
        <w:rPr>
          <w:rFonts w:ascii="Times New Roman" w:hAnsi="Times New Roman"/>
          <w:color w:val="000000"/>
        </w:rPr>
        <w:t>BRL</w:t>
      </w:r>
      <w:r w:rsidR="00702A87">
        <w:rPr>
          <w:rFonts w:ascii="Times New Roman" w:hAnsi="Times New Roman"/>
          <w:color w:val="000000"/>
        </w:rPr>
        <w:t xml:space="preserve"> 27.2 million generated from VA occur outside the region. Thus, the table displays the percentage of gains for each variable generated outside the region of origin of the shock.</w:t>
      </w:r>
    </w:p>
    <w:p w14:paraId="4940E590" w14:textId="02B4BD96" w:rsidR="00702A87" w:rsidRPr="00702A87" w:rsidRDefault="00702A87" w:rsidP="00702A87">
      <w:pPr>
        <w:autoSpaceDE w:val="0"/>
        <w:autoSpaceDN w:val="0"/>
        <w:adjustRightInd w:val="0"/>
        <w:spacing w:before="60" w:after="60" w:line="240" w:lineRule="auto"/>
        <w:ind w:firstLine="567"/>
        <w:jc w:val="both"/>
        <w:textAlignment w:val="center"/>
        <w:rPr>
          <w:rFonts w:ascii="Times New Roman" w:hAnsi="Times New Roman" w:cs="Baramond"/>
          <w:color w:val="000000"/>
        </w:rPr>
      </w:pPr>
      <w:r>
        <w:rPr>
          <w:rFonts w:ascii="Times New Roman" w:hAnsi="Times New Roman"/>
          <w:color w:val="000000"/>
        </w:rPr>
        <w:t>Thus, in any variable analyzed, the spillovers of the shock in the Southeast are the smallest, indicating that the region retains most of the effects of its shock. In addition, the joint analysis of Tables 3 and 4 reveals that the richest region of the country is also the most benefited by investment shocks in the electricity sector in other locations, since</w:t>
      </w:r>
      <w:r>
        <w:rPr>
          <w:rFonts w:ascii="Times New Roman" w:hAnsi="Times New Roman"/>
          <w:color w:val="000000" w:themeColor="text1"/>
        </w:rPr>
        <w:t>, as the largest industrial producer in the country, it exports large quantities of inputs and materials to other locations.</w:t>
      </w:r>
    </w:p>
    <w:p w14:paraId="59B3A778" w14:textId="77777777" w:rsidR="00702A87" w:rsidRPr="00702A87" w:rsidRDefault="00702A87" w:rsidP="00702A87">
      <w:pPr>
        <w:autoSpaceDE w:val="0"/>
        <w:autoSpaceDN w:val="0"/>
        <w:adjustRightInd w:val="0"/>
        <w:spacing w:after="120" w:line="260" w:lineRule="atLeast"/>
        <w:jc w:val="both"/>
        <w:textAlignment w:val="center"/>
        <w:rPr>
          <w:rFonts w:ascii="Tahoma" w:hAnsi="Tahoma" w:cs="Tahoma"/>
          <w:b/>
          <w:color w:val="000000"/>
          <w:lang w:eastAsia="pt-BR"/>
        </w:rPr>
      </w:pPr>
    </w:p>
    <w:p w14:paraId="5C2C7E7C" w14:textId="783B79C1" w:rsidR="00702A87" w:rsidRPr="00702A87" w:rsidRDefault="00702A87" w:rsidP="00702A87">
      <w:pPr>
        <w:autoSpaceDE w:val="0"/>
        <w:autoSpaceDN w:val="0"/>
        <w:adjustRightInd w:val="0"/>
        <w:spacing w:after="0" w:line="260" w:lineRule="atLeast"/>
        <w:jc w:val="both"/>
        <w:textAlignment w:val="center"/>
        <w:outlineLvl w:val="0"/>
        <w:rPr>
          <w:rFonts w:ascii="Tahoma" w:hAnsi="Tahoma" w:cs="Tahoma"/>
          <w:b/>
          <w:color w:val="000000"/>
          <w:spacing w:val="2"/>
        </w:rPr>
      </w:pPr>
      <w:r>
        <w:rPr>
          <w:rFonts w:ascii="Tahoma" w:hAnsi="Tahoma"/>
          <w:b/>
          <w:color w:val="000000"/>
        </w:rPr>
        <w:t xml:space="preserve">6. </w:t>
      </w:r>
      <w:r w:rsidR="00CC102F">
        <w:rPr>
          <w:rFonts w:ascii="Tahoma" w:hAnsi="Tahoma"/>
          <w:b/>
          <w:color w:val="000000"/>
        </w:rPr>
        <w:t>Concluding Remarks</w:t>
      </w:r>
      <w:r>
        <w:rPr>
          <w:rFonts w:ascii="Tahoma" w:hAnsi="Tahoma"/>
          <w:b/>
          <w:color w:val="000000"/>
        </w:rPr>
        <w:t xml:space="preserve"> </w:t>
      </w:r>
    </w:p>
    <w:p w14:paraId="31FD375C" w14:textId="77777777" w:rsidR="00702A87" w:rsidRPr="00702A87" w:rsidRDefault="00702A87" w:rsidP="00702A87">
      <w:pPr>
        <w:autoSpaceDE w:val="0"/>
        <w:autoSpaceDN w:val="0"/>
        <w:adjustRightInd w:val="0"/>
        <w:spacing w:after="120" w:line="260" w:lineRule="atLeast"/>
        <w:jc w:val="both"/>
        <w:textAlignment w:val="center"/>
        <w:rPr>
          <w:rFonts w:ascii="Tahoma" w:hAnsi="Tahoma" w:cs="Tahoma"/>
          <w:b/>
          <w:color w:val="000000"/>
          <w:lang w:eastAsia="pt-BR"/>
        </w:rPr>
      </w:pPr>
    </w:p>
    <w:p w14:paraId="5A4195DE" w14:textId="01134354" w:rsidR="00702A87" w:rsidRPr="00702A87" w:rsidRDefault="00705A4C" w:rsidP="00702A87">
      <w:pPr>
        <w:autoSpaceDE w:val="0"/>
        <w:autoSpaceDN w:val="0"/>
        <w:adjustRightInd w:val="0"/>
        <w:spacing w:before="60" w:after="60" w:line="240" w:lineRule="auto"/>
        <w:ind w:firstLine="567"/>
        <w:jc w:val="both"/>
        <w:textAlignment w:val="center"/>
        <w:rPr>
          <w:rFonts w:ascii="Times New Roman" w:hAnsi="Times New Roman" w:cs="Baramond"/>
          <w:color w:val="000000"/>
          <w:spacing w:val="-2"/>
        </w:rPr>
      </w:pPr>
      <w:r>
        <w:rPr>
          <w:rFonts w:ascii="Times New Roman" w:hAnsi="Times New Roman"/>
          <w:color w:val="000000"/>
        </w:rPr>
        <w:t>T</w:t>
      </w:r>
      <w:r w:rsidR="00702A87">
        <w:rPr>
          <w:rFonts w:ascii="Times New Roman" w:hAnsi="Times New Roman"/>
          <w:color w:val="000000"/>
        </w:rPr>
        <w:t>he 2010s can be clearly divided into two periods</w:t>
      </w:r>
      <w:r>
        <w:rPr>
          <w:rFonts w:ascii="Times New Roman" w:hAnsi="Times New Roman"/>
          <w:color w:val="000000"/>
        </w:rPr>
        <w:t xml:space="preserve"> in terms of Brazil’s economic performance</w:t>
      </w:r>
      <w:r w:rsidR="00702A87">
        <w:rPr>
          <w:rFonts w:ascii="Times New Roman" w:hAnsi="Times New Roman"/>
          <w:color w:val="000000"/>
        </w:rPr>
        <w:t xml:space="preserve">. Until 2014, there was </w:t>
      </w:r>
      <w:r>
        <w:rPr>
          <w:rFonts w:ascii="Times New Roman" w:hAnsi="Times New Roman"/>
          <w:color w:val="000000"/>
        </w:rPr>
        <w:t xml:space="preserve">a </w:t>
      </w:r>
      <w:r w:rsidR="00702A87">
        <w:rPr>
          <w:rFonts w:ascii="Times New Roman" w:hAnsi="Times New Roman"/>
          <w:color w:val="000000"/>
        </w:rPr>
        <w:t>relatively stable economic growth, a situation that changed with the recession that began in 2015. Since 201</w:t>
      </w:r>
      <w:r>
        <w:rPr>
          <w:rFonts w:ascii="Times New Roman" w:hAnsi="Times New Roman"/>
          <w:color w:val="000000"/>
        </w:rPr>
        <w:t>7</w:t>
      </w:r>
      <w:r w:rsidR="00702A87">
        <w:rPr>
          <w:rFonts w:ascii="Times New Roman" w:hAnsi="Times New Roman"/>
          <w:color w:val="000000"/>
        </w:rPr>
        <w:t xml:space="preserve">, however, the country has been experiencing stagnation with many economic and social consequences that put it in a delicate situation even before the Covid-19 pandemic. </w:t>
      </w:r>
      <w:r w:rsidR="009921BF">
        <w:rPr>
          <w:rFonts w:ascii="Times New Roman" w:hAnsi="Times New Roman"/>
          <w:color w:val="000000"/>
        </w:rPr>
        <w:t>The electricity sector</w:t>
      </w:r>
      <w:r w:rsidR="00702A87">
        <w:rPr>
          <w:rFonts w:ascii="Times New Roman" w:hAnsi="Times New Roman"/>
          <w:color w:val="000000"/>
        </w:rPr>
        <w:t xml:space="preserve"> cannot be detached from this context, as its generation and production multipliers follow, to a large extent, the trajectory of the Brazilian GDP. </w:t>
      </w:r>
    </w:p>
    <w:p w14:paraId="211F5080" w14:textId="7FCD7AB1" w:rsidR="00702A87" w:rsidRPr="00702A87" w:rsidRDefault="00702A87" w:rsidP="00702A87">
      <w:pPr>
        <w:autoSpaceDE w:val="0"/>
        <w:autoSpaceDN w:val="0"/>
        <w:adjustRightInd w:val="0"/>
        <w:spacing w:before="60" w:after="60" w:line="240" w:lineRule="auto"/>
        <w:ind w:firstLine="567"/>
        <w:jc w:val="both"/>
        <w:textAlignment w:val="center"/>
        <w:rPr>
          <w:rFonts w:ascii="Times New Roman" w:hAnsi="Times New Roman" w:cs="Baramond"/>
          <w:color w:val="000000"/>
        </w:rPr>
      </w:pPr>
      <w:r>
        <w:rPr>
          <w:rFonts w:ascii="Times New Roman" w:hAnsi="Times New Roman"/>
          <w:color w:val="000000"/>
        </w:rPr>
        <w:t xml:space="preserve">The analysis of both traditional and pure </w:t>
      </w:r>
      <w:r w:rsidR="009921BF">
        <w:rPr>
          <w:rFonts w:ascii="Times New Roman" w:hAnsi="Times New Roman"/>
          <w:color w:val="000000"/>
        </w:rPr>
        <w:t>linkage indexes</w:t>
      </w:r>
      <w:r>
        <w:rPr>
          <w:rFonts w:ascii="Times New Roman" w:hAnsi="Times New Roman"/>
          <w:color w:val="000000"/>
        </w:rPr>
        <w:t xml:space="preserve"> revealed that the electrical sector can be considered strategic for the economy, with </w:t>
      </w:r>
      <w:r w:rsidR="009921BF">
        <w:rPr>
          <w:rFonts w:ascii="Times New Roman" w:hAnsi="Times New Roman"/>
          <w:color w:val="000000"/>
        </w:rPr>
        <w:t>larger</w:t>
      </w:r>
      <w:r>
        <w:rPr>
          <w:rFonts w:ascii="Times New Roman" w:hAnsi="Times New Roman"/>
          <w:color w:val="000000"/>
        </w:rPr>
        <w:t xml:space="preserve"> </w:t>
      </w:r>
      <w:r w:rsidR="009921BF">
        <w:rPr>
          <w:rFonts w:ascii="Times New Roman" w:hAnsi="Times New Roman"/>
          <w:color w:val="000000"/>
        </w:rPr>
        <w:t>linkages</w:t>
      </w:r>
      <w:r>
        <w:rPr>
          <w:rFonts w:ascii="Times New Roman" w:hAnsi="Times New Roman"/>
          <w:color w:val="000000"/>
        </w:rPr>
        <w:t xml:space="preserve"> and more dispersed relationships across the supply side and a more concentrated demand, but with connections still above the economy average. The field of influence, in turn, showed that changes in the sector's requirements cause above-average impacts on all other industries, which corroborates its importance for the country's economic performance and productive activity.</w:t>
      </w:r>
    </w:p>
    <w:p w14:paraId="495FF2BA" w14:textId="45FEEC3A" w:rsidR="00702A87" w:rsidRPr="00702A87" w:rsidRDefault="00702A87" w:rsidP="00702A87">
      <w:pPr>
        <w:autoSpaceDE w:val="0"/>
        <w:autoSpaceDN w:val="0"/>
        <w:adjustRightInd w:val="0"/>
        <w:spacing w:before="60" w:after="60" w:line="240" w:lineRule="auto"/>
        <w:ind w:firstLine="567"/>
        <w:jc w:val="both"/>
        <w:textAlignment w:val="center"/>
        <w:rPr>
          <w:rFonts w:ascii="Times New Roman" w:hAnsi="Times New Roman" w:cs="Baramond"/>
          <w:color w:val="000000" w:themeColor="text1"/>
        </w:rPr>
      </w:pPr>
      <w:r>
        <w:rPr>
          <w:rFonts w:ascii="Times New Roman" w:hAnsi="Times New Roman"/>
          <w:color w:val="000000"/>
        </w:rPr>
        <w:t xml:space="preserve">Given this importance, it is crucial to decide where to invest in order to achieve the greatest impact and reduce regional disparities, as stated in article 3 of the 1988 Federal Constitution. To support this planning, an estimated inter-regional input-output matrix was used based on data from the </w:t>
      </w:r>
      <w:r>
        <w:rPr>
          <w:rFonts w:ascii="Times New Roman" w:hAnsi="Times New Roman"/>
          <w:color w:val="000000" w:themeColor="text1"/>
        </w:rPr>
        <w:t>NF</w:t>
      </w:r>
      <w:r w:rsidR="00766BCA">
        <w:rPr>
          <w:rFonts w:ascii="Times New Roman" w:hAnsi="Times New Roman"/>
          <w:color w:val="000000" w:themeColor="text1"/>
        </w:rPr>
        <w:t>e</w:t>
      </w:r>
      <w:r>
        <w:rPr>
          <w:rFonts w:ascii="Times New Roman" w:hAnsi="Times New Roman"/>
          <w:color w:val="000000" w:themeColor="text1"/>
        </w:rPr>
        <w:t xml:space="preserve"> for 2013.</w:t>
      </w:r>
    </w:p>
    <w:p w14:paraId="00EF9434" w14:textId="7D59F071" w:rsidR="00702A87" w:rsidRPr="00702A87" w:rsidRDefault="00702A87" w:rsidP="00702A87">
      <w:pPr>
        <w:autoSpaceDE w:val="0"/>
        <w:autoSpaceDN w:val="0"/>
        <w:adjustRightInd w:val="0"/>
        <w:spacing w:before="60" w:after="60" w:line="240" w:lineRule="auto"/>
        <w:ind w:firstLine="567"/>
        <w:jc w:val="both"/>
        <w:textAlignment w:val="center"/>
        <w:rPr>
          <w:rFonts w:ascii="Times New Roman" w:hAnsi="Times New Roman" w:cs="Baramond"/>
          <w:color w:val="000000" w:themeColor="text1"/>
        </w:rPr>
      </w:pPr>
      <w:r>
        <w:rPr>
          <w:rFonts w:ascii="Times New Roman" w:hAnsi="Times New Roman"/>
          <w:color w:val="000000" w:themeColor="text1"/>
        </w:rPr>
        <w:t>The results reveal that the Northeast region is the most attractive for investment policies in the electricity sector. This is due to the major impacts on production, occupations, wages and indirect tax collection, in addition to the region's electrical sector being interconnected with that of other locations in the country and being a development hub for sustainable energy sources such as wind and solar</w:t>
      </w:r>
      <w:r w:rsidRPr="00702A87">
        <w:rPr>
          <w:rFonts w:ascii="Times New Roman" w:hAnsi="Times New Roman" w:cs="Baramond"/>
          <w:color w:val="000000" w:themeColor="text1"/>
          <w:vertAlign w:val="superscript"/>
          <w:lang w:eastAsia="pt-BR"/>
        </w:rPr>
        <w:footnoteReference w:id="24"/>
      </w:r>
      <w:r>
        <w:rPr>
          <w:rFonts w:ascii="Times New Roman" w:hAnsi="Times New Roman"/>
          <w:color w:val="000000" w:themeColor="text1"/>
        </w:rPr>
        <w:t xml:space="preserve">, which have high returns on investment and will become even more of a priority in post-pandemic economic growth </w:t>
      </w:r>
      <w:r>
        <w:rPr>
          <w:rFonts w:ascii="Times New Roman" w:hAnsi="Times New Roman"/>
          <w:color w:val="000000" w:themeColor="text1"/>
        </w:rPr>
        <w:lastRenderedPageBreak/>
        <w:t xml:space="preserve">and in the fight against global warming. In fact, the International Energy Agency </w:t>
      </w:r>
      <w:r w:rsidRPr="00702A87">
        <w:rPr>
          <w:rFonts w:ascii="Times New Roman" w:hAnsi="Times New Roman" w:cs="Baramond"/>
          <w:color w:val="000000" w:themeColor="text1"/>
        </w:rPr>
        <w:fldChar w:fldCharType="begin"/>
      </w:r>
      <w:r w:rsidRPr="00702A87">
        <w:rPr>
          <w:rFonts w:ascii="Times New Roman" w:hAnsi="Times New Roman" w:cs="Baramond"/>
          <w:color w:val="000000" w:themeColor="text1"/>
        </w:rPr>
        <w:instrText xml:space="preserve"> ADDIN ZOTERO_ITEM CSL_CITATION {"citationID":"xDCSk9dH","properties":{"formattedCitation":"(IEA, 2021)","plainCitation":"(IEA, 2021)","noteIndex":0},"citationItems":[{"id":70,"uris":["http://zotero.org/users/8767809/items/JPRB2EM6",["http://zotero.org/users/8767809/items/JPRB2EM6"]],"itemData":{"id":70,"type":"document","language":"en-GB","title":"World Energy Outlook 2021","URL":"https://www.iea.org/reports/world-energy-outlook-2021","author":[{"family":"IEA","given":""}],"accessed":{"date-parts":[["2021",12,17]]},"issued":{"date-parts":[["2021"]]}}}],"schema":"https://github.com/citation-style-language/schema/raw/master/csl-citation.json"} </w:instrText>
      </w:r>
      <w:r w:rsidRPr="00702A87">
        <w:rPr>
          <w:rFonts w:ascii="Times New Roman" w:hAnsi="Times New Roman" w:cs="Baramond"/>
          <w:color w:val="000000" w:themeColor="text1"/>
        </w:rPr>
        <w:fldChar w:fldCharType="separate"/>
      </w:r>
      <w:r w:rsidRPr="00702A87">
        <w:rPr>
          <w:rFonts w:ascii="Times New Roman" w:hAnsi="Times New Roman" w:cs="Baramond"/>
          <w:color w:val="000000" w:themeColor="text1"/>
        </w:rPr>
        <w:t>(IEA, 2021)</w:t>
      </w:r>
      <w:r w:rsidRPr="00702A87">
        <w:rPr>
          <w:rFonts w:ascii="Times New Roman" w:hAnsi="Times New Roman" w:cs="Baramond"/>
          <w:color w:val="000000" w:themeColor="text1"/>
        </w:rPr>
        <w:fldChar w:fldCharType="end"/>
      </w:r>
      <w:r>
        <w:rPr>
          <w:rFonts w:ascii="Times New Roman" w:hAnsi="Times New Roman"/>
          <w:color w:val="000000" w:themeColor="text1"/>
        </w:rPr>
        <w:t xml:space="preserve"> projects that renewable sources will correspond to 95% of the increase in installed energy generation capacity by 2026. This </w:t>
      </w:r>
      <w:r w:rsidR="00766BCA">
        <w:rPr>
          <w:rFonts w:ascii="Times New Roman" w:hAnsi="Times New Roman"/>
          <w:color w:val="000000" w:themeColor="text1"/>
        </w:rPr>
        <w:t>puts</w:t>
      </w:r>
      <w:r>
        <w:rPr>
          <w:rFonts w:ascii="Times New Roman" w:hAnsi="Times New Roman"/>
          <w:color w:val="000000" w:themeColor="text1"/>
        </w:rPr>
        <w:t xml:space="preserve"> the Northeast in a privileged position. </w:t>
      </w:r>
    </w:p>
    <w:p w14:paraId="02153F13" w14:textId="77777777" w:rsidR="00702A87" w:rsidRDefault="00702A87" w:rsidP="00702A87">
      <w:pPr>
        <w:autoSpaceDE w:val="0"/>
        <w:autoSpaceDN w:val="0"/>
        <w:adjustRightInd w:val="0"/>
        <w:spacing w:before="60" w:after="60" w:line="240" w:lineRule="auto"/>
        <w:ind w:firstLine="567"/>
        <w:jc w:val="both"/>
        <w:textAlignment w:val="center"/>
        <w:rPr>
          <w:rFonts w:ascii="Times New Roman" w:hAnsi="Times New Roman" w:cs="Baramond"/>
          <w:color w:val="000000" w:themeColor="text1"/>
          <w:spacing w:val="2"/>
        </w:rPr>
      </w:pPr>
      <w:r>
        <w:rPr>
          <w:rFonts w:ascii="Times New Roman" w:hAnsi="Times New Roman"/>
          <w:color w:val="000000" w:themeColor="text1"/>
        </w:rPr>
        <w:t>However, a large part of these effects leaks to other locations in Brazil, given that the Northeast has, in general, the largest spillovers among all regions. Disregarding these leaks, the region whose shock has the greatest impact on itself is the Southeast, which concentrates more than 40% of production and 50% of the sector's investment in the inter-regional IOT estimated for 2013. Furthermore, as it is the largest energy consumer hub and the largest industrial producer in the country, the Southeast imports half of its electricity consumption and exports inputs and materials to other locations, making it the largest beneficiary of spillovers from other Brazilian regions.</w:t>
      </w:r>
    </w:p>
    <w:p w14:paraId="138E42A6" w14:textId="77777777" w:rsidR="00EA13BD" w:rsidRDefault="00EA13BD" w:rsidP="00EA13BD">
      <w:pPr>
        <w:autoSpaceDE w:val="0"/>
        <w:autoSpaceDN w:val="0"/>
        <w:adjustRightInd w:val="0"/>
        <w:spacing w:before="60" w:after="60" w:line="240" w:lineRule="auto"/>
        <w:jc w:val="both"/>
        <w:textAlignment w:val="center"/>
        <w:rPr>
          <w:rFonts w:ascii="Times New Roman" w:hAnsi="Times New Roman" w:cs="Baramond"/>
          <w:color w:val="000000" w:themeColor="text1"/>
          <w:spacing w:val="2"/>
          <w:lang w:eastAsia="pt-BR"/>
        </w:rPr>
      </w:pPr>
    </w:p>
    <w:p w14:paraId="656C2C30" w14:textId="77777777" w:rsidR="000170C4" w:rsidRDefault="000170C4">
      <w:pPr>
        <w:spacing w:after="0" w:line="240" w:lineRule="auto"/>
        <w:rPr>
          <w:rFonts w:ascii="Times New Roman" w:hAnsi="Times New Roman" w:cs="Baramond"/>
          <w:color w:val="000000" w:themeColor="text1"/>
          <w:spacing w:val="2"/>
        </w:rPr>
      </w:pPr>
      <w:r>
        <w:br w:type="page"/>
      </w:r>
    </w:p>
    <w:p w14:paraId="0745B401" w14:textId="4E6074C3" w:rsidR="00CA72FC" w:rsidRPr="00CA72FC" w:rsidRDefault="00CA72FC" w:rsidP="00CA72FC">
      <w:pPr>
        <w:autoSpaceDE w:val="0"/>
        <w:autoSpaceDN w:val="0"/>
        <w:adjustRightInd w:val="0"/>
        <w:spacing w:after="0" w:line="260" w:lineRule="atLeast"/>
        <w:jc w:val="both"/>
        <w:textAlignment w:val="center"/>
        <w:outlineLvl w:val="0"/>
        <w:rPr>
          <w:rFonts w:ascii="Tahoma" w:hAnsi="Tahoma" w:cs="Tahoma"/>
          <w:b/>
          <w:color w:val="000000"/>
          <w:spacing w:val="2"/>
        </w:rPr>
      </w:pPr>
      <w:r>
        <w:rPr>
          <w:rFonts w:ascii="Tahoma" w:hAnsi="Tahoma"/>
          <w:b/>
          <w:color w:val="000000"/>
        </w:rPr>
        <w:lastRenderedPageBreak/>
        <w:t>References</w:t>
      </w:r>
    </w:p>
    <w:p w14:paraId="181748DB" w14:textId="77777777" w:rsidR="00CA72FC" w:rsidRPr="00CA72FC" w:rsidRDefault="00CA72FC" w:rsidP="00CA72FC">
      <w:pPr>
        <w:autoSpaceDE w:val="0"/>
        <w:autoSpaceDN w:val="0"/>
        <w:adjustRightInd w:val="0"/>
        <w:spacing w:before="60" w:after="60" w:line="240" w:lineRule="auto"/>
        <w:ind w:firstLine="567"/>
        <w:jc w:val="both"/>
        <w:textAlignment w:val="center"/>
        <w:rPr>
          <w:rFonts w:ascii="Times New Roman" w:hAnsi="Times New Roman" w:cs="Baramond"/>
          <w:b/>
          <w:bCs/>
          <w:color w:val="000000"/>
          <w:lang w:eastAsia="pt-BR"/>
        </w:rPr>
      </w:pPr>
    </w:p>
    <w:p w14:paraId="5052BFC4" w14:textId="77777777" w:rsidR="00CA72FC" w:rsidRPr="00CA72FC" w:rsidRDefault="00CA72FC" w:rsidP="00E06BE9">
      <w:pPr>
        <w:widowControl w:val="0"/>
        <w:autoSpaceDE w:val="0"/>
        <w:autoSpaceDN w:val="0"/>
        <w:adjustRightInd w:val="0"/>
        <w:spacing w:after="120" w:line="240" w:lineRule="auto"/>
        <w:rPr>
          <w:rFonts w:ascii="Times New Roman" w:eastAsia="Times New Roman" w:hAnsi="Times New Roman"/>
          <w:szCs w:val="24"/>
        </w:rPr>
      </w:pPr>
      <w:r w:rsidRPr="00CA72FC">
        <w:rPr>
          <w:rFonts w:ascii="Times New Roman" w:eastAsiaTheme="minorHAnsi" w:hAnsi="Times New Roman"/>
        </w:rPr>
        <w:fldChar w:fldCharType="begin"/>
      </w:r>
      <w:r w:rsidRPr="00CA72FC">
        <w:rPr>
          <w:rFonts w:ascii="Times New Roman" w:eastAsia="Times New Roman" w:hAnsi="Times New Roman"/>
        </w:rPr>
        <w:instrText xml:space="preserve"> ADDIN ZOTERO_BIBL {"uncited":[],"omitted":[],"custom":[]} CSL_BIBLIOGRAPHY </w:instrText>
      </w:r>
      <w:r w:rsidRPr="00CA72FC">
        <w:rPr>
          <w:rFonts w:ascii="Times New Roman" w:eastAsiaTheme="minorHAnsi" w:hAnsi="Times New Roman"/>
        </w:rPr>
        <w:fldChar w:fldCharType="separate"/>
      </w:r>
      <w:r w:rsidRPr="00CA72FC">
        <w:rPr>
          <w:rFonts w:ascii="Times New Roman" w:eastAsia="Times New Roman" w:hAnsi="Times New Roman"/>
        </w:rPr>
        <w:t xml:space="preserve">ALVES-PASSONI, P. </w:t>
      </w:r>
      <w:r w:rsidRPr="00CA72FC">
        <w:rPr>
          <w:rFonts w:ascii="Times New Roman" w:eastAsia="Times New Roman" w:hAnsi="Times New Roman"/>
          <w:b/>
        </w:rPr>
        <w:t>Deindustrialization and Regressive Specialization in the Brazilian Economy Between 2000 and 2014: a critical assessment based on the input-output analysis</w:t>
      </w:r>
      <w:r w:rsidRPr="00CA72FC">
        <w:rPr>
          <w:rFonts w:ascii="Times New Roman" w:eastAsia="Times New Roman" w:hAnsi="Times New Roman"/>
        </w:rPr>
        <w:t>. Rio de Janeiro: UFRJ, 2019.</w:t>
      </w:r>
    </w:p>
    <w:p w14:paraId="1193A39D" w14:textId="77777777" w:rsidR="00CA72FC" w:rsidRPr="00522DCF" w:rsidRDefault="00CA72FC" w:rsidP="00E06BE9">
      <w:pPr>
        <w:widowControl w:val="0"/>
        <w:autoSpaceDE w:val="0"/>
        <w:autoSpaceDN w:val="0"/>
        <w:adjustRightInd w:val="0"/>
        <w:spacing w:line="240" w:lineRule="auto"/>
        <w:rPr>
          <w:rFonts w:ascii="Times New Roman" w:eastAsia="Times New Roman" w:hAnsi="Times New Roman"/>
          <w:lang w:val="pt-BR"/>
        </w:rPr>
      </w:pPr>
      <w:r w:rsidRPr="00CA72FC">
        <w:rPr>
          <w:rFonts w:ascii="Times New Roman" w:eastAsia="Times New Roman" w:hAnsi="Times New Roman"/>
        </w:rPr>
        <w:t xml:space="preserve">APERGIS, N.; PAYNE, J. A dynamic panel study of economic development and the electricity consumption-growth nexus. </w:t>
      </w:r>
      <w:r w:rsidRPr="00522DCF">
        <w:rPr>
          <w:rFonts w:ascii="Times New Roman" w:eastAsia="Times New Roman" w:hAnsi="Times New Roman"/>
          <w:b/>
          <w:lang w:val="pt-BR"/>
        </w:rPr>
        <w:t>Energy Economics</w:t>
      </w:r>
      <w:r w:rsidRPr="00522DCF">
        <w:rPr>
          <w:rFonts w:ascii="Times New Roman" w:eastAsia="Times New Roman" w:hAnsi="Times New Roman"/>
          <w:lang w:val="pt-BR"/>
        </w:rPr>
        <w:t>, v. 33, n. 5, p. 770–781, 2011. DOI: https://doi.org/10.1016/j.eneco.2010.12.018.</w:t>
      </w:r>
    </w:p>
    <w:p w14:paraId="6E24844B" w14:textId="52FD1E45" w:rsidR="00CA72FC" w:rsidRPr="00522DCF" w:rsidRDefault="00CA72FC" w:rsidP="00E06BE9">
      <w:pPr>
        <w:widowControl w:val="0"/>
        <w:autoSpaceDE w:val="0"/>
        <w:autoSpaceDN w:val="0"/>
        <w:adjustRightInd w:val="0"/>
        <w:spacing w:line="240" w:lineRule="auto"/>
        <w:rPr>
          <w:rFonts w:ascii="Times New Roman" w:eastAsia="Times New Roman" w:hAnsi="Times New Roman"/>
          <w:lang w:val="pt-BR"/>
        </w:rPr>
      </w:pPr>
      <w:r w:rsidRPr="00522DCF">
        <w:rPr>
          <w:rFonts w:ascii="Times New Roman" w:eastAsia="Times New Roman" w:hAnsi="Times New Roman"/>
          <w:lang w:val="pt-BR"/>
        </w:rPr>
        <w:t xml:space="preserve">BERTUSSI, G.; TAKASAGO, M.; GUILHOTO, J. Infraestrutura Econômica no </w:t>
      </w:r>
      <w:r w:rsidR="001A159C">
        <w:rPr>
          <w:rFonts w:ascii="Times New Roman" w:eastAsia="Times New Roman" w:hAnsi="Times New Roman"/>
          <w:lang w:val="pt-BR"/>
        </w:rPr>
        <w:t>Bra</w:t>
      </w:r>
      <w:r w:rsidR="006D793E">
        <w:rPr>
          <w:rFonts w:ascii="Times New Roman" w:eastAsia="Times New Roman" w:hAnsi="Times New Roman"/>
          <w:lang w:val="pt-BR"/>
        </w:rPr>
        <w:t>s</w:t>
      </w:r>
      <w:r w:rsidR="001A159C">
        <w:rPr>
          <w:rFonts w:ascii="Times New Roman" w:eastAsia="Times New Roman" w:hAnsi="Times New Roman"/>
          <w:lang w:val="pt-BR"/>
        </w:rPr>
        <w:t>il</w:t>
      </w:r>
      <w:r w:rsidRPr="00522DCF">
        <w:rPr>
          <w:rFonts w:ascii="Times New Roman" w:eastAsia="Times New Roman" w:hAnsi="Times New Roman"/>
          <w:lang w:val="pt-BR"/>
        </w:rPr>
        <w:t xml:space="preserve">: uma análise de sua relevância sob a ótica de matriz insumo-produto. </w:t>
      </w:r>
      <w:r w:rsidRPr="00522DCF">
        <w:rPr>
          <w:rFonts w:ascii="Times New Roman" w:eastAsia="Times New Roman" w:hAnsi="Times New Roman"/>
          <w:b/>
          <w:lang w:val="pt-BR"/>
        </w:rPr>
        <w:t>Análise Econômica</w:t>
      </w:r>
      <w:r w:rsidRPr="00522DCF">
        <w:rPr>
          <w:rFonts w:ascii="Times New Roman" w:eastAsia="Times New Roman" w:hAnsi="Times New Roman"/>
          <w:lang w:val="pt-BR"/>
        </w:rPr>
        <w:t>, v. 38, n. 77, 2020. DOI: https://doi.org/10.22456/2176-5456.76395.</w:t>
      </w:r>
    </w:p>
    <w:p w14:paraId="09F418F3" w14:textId="2E82C9FE" w:rsidR="00CA72FC" w:rsidRPr="00522DCF" w:rsidRDefault="001A159C" w:rsidP="00E06BE9">
      <w:pPr>
        <w:widowControl w:val="0"/>
        <w:autoSpaceDE w:val="0"/>
        <w:autoSpaceDN w:val="0"/>
        <w:adjustRightInd w:val="0"/>
        <w:spacing w:line="240" w:lineRule="auto"/>
        <w:rPr>
          <w:rFonts w:ascii="Times New Roman" w:eastAsia="Times New Roman" w:hAnsi="Times New Roman"/>
          <w:lang w:val="pt-BR"/>
        </w:rPr>
      </w:pPr>
      <w:r>
        <w:rPr>
          <w:rFonts w:ascii="Times New Roman" w:eastAsia="Times New Roman" w:hAnsi="Times New Roman"/>
          <w:lang w:val="pt-BR"/>
        </w:rPr>
        <w:t>BRAZIL</w:t>
      </w:r>
      <w:r w:rsidR="00CA72FC" w:rsidRPr="00522DCF">
        <w:rPr>
          <w:rFonts w:ascii="Times New Roman" w:eastAsia="Times New Roman" w:hAnsi="Times New Roman"/>
          <w:lang w:val="pt-BR"/>
        </w:rPr>
        <w:t xml:space="preserve">. </w:t>
      </w:r>
      <w:r w:rsidR="00CA72FC" w:rsidRPr="00522DCF">
        <w:rPr>
          <w:rFonts w:ascii="Times New Roman" w:eastAsia="Times New Roman" w:hAnsi="Times New Roman"/>
          <w:b/>
          <w:lang w:val="pt-BR"/>
        </w:rPr>
        <w:t>Matrizes Energéticas Estaduais</w:t>
      </w:r>
      <w:r w:rsidR="00CA72FC" w:rsidRPr="00522DCF">
        <w:rPr>
          <w:rFonts w:ascii="Times New Roman" w:eastAsia="Times New Roman" w:hAnsi="Times New Roman"/>
          <w:lang w:val="pt-BR"/>
        </w:rPr>
        <w:t>, 2016. Disponível em: https://www.gov.br/mme/pt-br/assuntos/secretarias/sntep/publicacoes/matrizes-energeticas-estaduais/03-matrizes-eletricas-estaduais-2016-ano-ref-2015-pdf.pdf. Acesso em: 3 dez. 2021</w:t>
      </w:r>
    </w:p>
    <w:p w14:paraId="746DE4BC" w14:textId="10D7B175" w:rsidR="00CA72FC" w:rsidRPr="00522DCF" w:rsidRDefault="001A159C" w:rsidP="00E06BE9">
      <w:pPr>
        <w:widowControl w:val="0"/>
        <w:autoSpaceDE w:val="0"/>
        <w:autoSpaceDN w:val="0"/>
        <w:adjustRightInd w:val="0"/>
        <w:spacing w:line="240" w:lineRule="auto"/>
        <w:rPr>
          <w:rFonts w:ascii="Times New Roman" w:eastAsia="Times New Roman" w:hAnsi="Times New Roman"/>
          <w:lang w:val="pt-BR"/>
        </w:rPr>
      </w:pPr>
      <w:r>
        <w:rPr>
          <w:rFonts w:ascii="Times New Roman" w:eastAsia="Times New Roman" w:hAnsi="Times New Roman"/>
          <w:lang w:val="pt-BR"/>
        </w:rPr>
        <w:t>BRAZIL</w:t>
      </w:r>
      <w:r w:rsidR="00CA72FC" w:rsidRPr="00522DCF">
        <w:rPr>
          <w:rFonts w:ascii="Times New Roman" w:eastAsia="Times New Roman" w:hAnsi="Times New Roman"/>
          <w:lang w:val="pt-BR"/>
        </w:rPr>
        <w:t xml:space="preserve">. </w:t>
      </w:r>
      <w:r w:rsidR="00CA72FC" w:rsidRPr="00522DCF">
        <w:rPr>
          <w:rFonts w:ascii="Times New Roman" w:eastAsia="Times New Roman" w:hAnsi="Times New Roman"/>
          <w:b/>
          <w:lang w:val="pt-BR"/>
        </w:rPr>
        <w:t>Nota Técnica DEA 001/17 - Estudos da Demanda</w:t>
      </w:r>
      <w:r w:rsidR="00CA72FC" w:rsidRPr="00522DCF">
        <w:rPr>
          <w:rFonts w:ascii="Times New Roman" w:eastAsia="Times New Roman" w:hAnsi="Times New Roman"/>
          <w:lang w:val="pt-BR"/>
        </w:rPr>
        <w:t>. Ministério de Minas e Energia, 2017. Disponível em: https://www.epe.gov.br/sites-pt/publicacoes-dados-abertos/publicacoes/PublicacoesArquivos/publicacao-245/topico-261/DEA%20001_2017%20-%20Proje%C3%A7%C3%B5es%20da%20Demanda%20de%20Energia%20El%C3%A9trica%202017-2026_VF%5B1%5D.pdf. Acesso em: 13 dez. 2021</w:t>
      </w:r>
    </w:p>
    <w:p w14:paraId="36ED04EC" w14:textId="7A2FFD3F" w:rsidR="00CA72FC" w:rsidRPr="00522DCF" w:rsidRDefault="001A159C" w:rsidP="00E06BE9">
      <w:pPr>
        <w:widowControl w:val="0"/>
        <w:autoSpaceDE w:val="0"/>
        <w:autoSpaceDN w:val="0"/>
        <w:adjustRightInd w:val="0"/>
        <w:spacing w:line="240" w:lineRule="auto"/>
        <w:rPr>
          <w:rFonts w:ascii="Times New Roman" w:eastAsia="Times New Roman" w:hAnsi="Times New Roman"/>
          <w:lang w:val="pt-BR"/>
        </w:rPr>
      </w:pPr>
      <w:r>
        <w:rPr>
          <w:rFonts w:ascii="Times New Roman" w:eastAsia="Times New Roman" w:hAnsi="Times New Roman"/>
          <w:lang w:val="pt-BR"/>
        </w:rPr>
        <w:t>BRAZIL</w:t>
      </w:r>
      <w:r w:rsidR="00CA72FC" w:rsidRPr="00522DCF">
        <w:rPr>
          <w:rFonts w:ascii="Times New Roman" w:eastAsia="Times New Roman" w:hAnsi="Times New Roman"/>
          <w:lang w:val="pt-BR"/>
        </w:rPr>
        <w:t xml:space="preserve">. </w:t>
      </w:r>
      <w:r w:rsidR="00CA72FC" w:rsidRPr="00522DCF">
        <w:rPr>
          <w:rFonts w:ascii="Times New Roman" w:eastAsia="Times New Roman" w:hAnsi="Times New Roman"/>
          <w:b/>
          <w:lang w:val="pt-BR"/>
        </w:rPr>
        <w:t>Balanço Energético Nacional 2020 - ano base 2019</w:t>
      </w:r>
      <w:r w:rsidR="00CA72FC" w:rsidRPr="00522DCF">
        <w:rPr>
          <w:rFonts w:ascii="Times New Roman" w:eastAsia="Times New Roman" w:hAnsi="Times New Roman"/>
          <w:lang w:val="pt-BR"/>
        </w:rPr>
        <w:t>. Ministério de Minas e Energia, 2020. Disponível em: https://www.epe.gov.br/sites-pt/publicacoes-dados-abertos/publicacoes/PublicacoesArquivos/publicacao-479/topico-528/BEN2020_sp.pdf. Acesso em: 13 dez. 2021</w:t>
      </w:r>
    </w:p>
    <w:p w14:paraId="04C4011B" w14:textId="65D608B9" w:rsidR="00F53F61" w:rsidRPr="00522DCF" w:rsidRDefault="001A159C" w:rsidP="00E06BE9">
      <w:pPr>
        <w:widowControl w:val="0"/>
        <w:autoSpaceDE w:val="0"/>
        <w:autoSpaceDN w:val="0"/>
        <w:adjustRightInd w:val="0"/>
        <w:spacing w:line="240" w:lineRule="auto"/>
        <w:rPr>
          <w:rFonts w:ascii="Times New Roman" w:eastAsia="Times New Roman" w:hAnsi="Times New Roman"/>
          <w:lang w:val="pt-BR"/>
        </w:rPr>
      </w:pPr>
      <w:r>
        <w:rPr>
          <w:rFonts w:ascii="Times New Roman" w:eastAsia="Times New Roman" w:hAnsi="Times New Roman"/>
          <w:lang w:val="pt-BR"/>
        </w:rPr>
        <w:t>BRAZIL</w:t>
      </w:r>
      <w:r w:rsidR="00CA72FC" w:rsidRPr="00522DCF">
        <w:rPr>
          <w:rFonts w:ascii="Times New Roman" w:eastAsia="Times New Roman" w:hAnsi="Times New Roman"/>
          <w:lang w:val="pt-BR"/>
        </w:rPr>
        <w:t xml:space="preserve">. </w:t>
      </w:r>
      <w:r w:rsidR="00CA72FC" w:rsidRPr="00522DCF">
        <w:rPr>
          <w:rFonts w:ascii="Times New Roman" w:eastAsia="Times New Roman" w:hAnsi="Times New Roman"/>
          <w:b/>
          <w:lang w:val="pt-BR"/>
        </w:rPr>
        <w:t>Anuário Estatístico de Energia Elétrica 2021 - ano base 2020</w:t>
      </w:r>
      <w:r w:rsidR="00CA72FC" w:rsidRPr="00522DCF">
        <w:rPr>
          <w:rFonts w:ascii="Times New Roman" w:eastAsia="Times New Roman" w:hAnsi="Times New Roman"/>
          <w:lang w:val="pt-BR"/>
        </w:rPr>
        <w:t>. Ministério de Minas e Energia, 2021. Disponível em: https://www.epe.gov.br/pt/publicacoes-dados-abertos/publicacoes/anuario-estatistico-de-energia-eletrica. Acesso em: 7 out. 2021</w:t>
      </w:r>
    </w:p>
    <w:p w14:paraId="390898AA" w14:textId="733E42BD" w:rsidR="00CA72FC" w:rsidRPr="00522DCF" w:rsidRDefault="00CA72FC" w:rsidP="00E06BE9">
      <w:pPr>
        <w:widowControl w:val="0"/>
        <w:autoSpaceDE w:val="0"/>
        <w:autoSpaceDN w:val="0"/>
        <w:adjustRightInd w:val="0"/>
        <w:spacing w:line="240" w:lineRule="auto"/>
        <w:rPr>
          <w:rFonts w:ascii="Times New Roman" w:eastAsia="Times New Roman" w:hAnsi="Times New Roman"/>
          <w:lang w:val="pt-BR"/>
        </w:rPr>
      </w:pPr>
      <w:r w:rsidRPr="00522DCF">
        <w:rPr>
          <w:rFonts w:ascii="Times New Roman" w:eastAsia="Times New Roman" w:hAnsi="Times New Roman"/>
          <w:lang w:val="pt-BR"/>
        </w:rPr>
        <w:t xml:space="preserve">CARVALHO, T.; PEROBELLI, F. Avaliação da intensidade de emissões de CO2 setoriais e na estrutura de exportações: um modelo interregional de insumo-produto São Paulo/restante do </w:t>
      </w:r>
      <w:r w:rsidR="001A159C">
        <w:rPr>
          <w:rFonts w:ascii="Times New Roman" w:eastAsia="Times New Roman" w:hAnsi="Times New Roman"/>
          <w:lang w:val="pt-BR"/>
        </w:rPr>
        <w:t>Brazil</w:t>
      </w:r>
      <w:r w:rsidRPr="00522DCF">
        <w:rPr>
          <w:rFonts w:ascii="Times New Roman" w:eastAsia="Times New Roman" w:hAnsi="Times New Roman"/>
          <w:lang w:val="pt-BR"/>
        </w:rPr>
        <w:t xml:space="preserve">. </w:t>
      </w:r>
      <w:r w:rsidRPr="00522DCF">
        <w:rPr>
          <w:rFonts w:ascii="Times New Roman" w:eastAsia="Times New Roman" w:hAnsi="Times New Roman"/>
          <w:b/>
          <w:lang w:val="pt-BR"/>
        </w:rPr>
        <w:t>Economia Aplicada</w:t>
      </w:r>
      <w:r w:rsidRPr="00522DCF">
        <w:rPr>
          <w:rFonts w:ascii="Times New Roman" w:eastAsia="Times New Roman" w:hAnsi="Times New Roman"/>
          <w:lang w:val="pt-BR"/>
        </w:rPr>
        <w:t>, v. 13, p. 99–124, mar. 2009. DOI: https://doi.org/10.1590/S1413-80502009000100005.</w:t>
      </w:r>
    </w:p>
    <w:p w14:paraId="42322C3F" w14:textId="6A1D8CE2" w:rsidR="00FC2739" w:rsidRPr="00CA72FC" w:rsidRDefault="00CA72FC" w:rsidP="00E06BE9">
      <w:pPr>
        <w:widowControl w:val="0"/>
        <w:autoSpaceDE w:val="0"/>
        <w:autoSpaceDN w:val="0"/>
        <w:adjustRightInd w:val="0"/>
        <w:spacing w:line="240" w:lineRule="auto"/>
        <w:rPr>
          <w:rFonts w:ascii="Times New Roman" w:eastAsia="Times New Roman" w:hAnsi="Times New Roman"/>
        </w:rPr>
      </w:pPr>
      <w:r w:rsidRPr="00522DCF">
        <w:rPr>
          <w:rFonts w:ascii="Times New Roman" w:eastAsia="Times New Roman" w:hAnsi="Times New Roman"/>
          <w:lang w:val="pt-BR"/>
        </w:rPr>
        <w:t xml:space="preserve">CNI. </w:t>
      </w:r>
      <w:r w:rsidRPr="00522DCF">
        <w:rPr>
          <w:rFonts w:ascii="Times New Roman" w:eastAsia="Times New Roman" w:hAnsi="Times New Roman"/>
          <w:b/>
          <w:lang w:val="pt-BR"/>
        </w:rPr>
        <w:t>Nota Econômica n</w:t>
      </w:r>
      <w:r w:rsidRPr="00522DCF">
        <w:rPr>
          <w:rFonts w:ascii="Times New Roman" w:eastAsia="Times New Roman" w:hAnsi="Times New Roman"/>
          <w:b/>
          <w:vertAlign w:val="superscript"/>
          <w:lang w:val="pt-BR"/>
        </w:rPr>
        <w:t>o</w:t>
      </w:r>
      <w:r w:rsidRPr="00522DCF">
        <w:rPr>
          <w:rFonts w:ascii="Times New Roman" w:eastAsia="Times New Roman" w:hAnsi="Times New Roman"/>
          <w:b/>
          <w:lang w:val="pt-BR"/>
        </w:rPr>
        <w:t xml:space="preserve"> 19</w:t>
      </w:r>
      <w:r w:rsidRPr="00522DCF">
        <w:rPr>
          <w:rFonts w:ascii="Times New Roman" w:eastAsia="Times New Roman" w:hAnsi="Times New Roman"/>
          <w:lang w:val="pt-BR"/>
        </w:rPr>
        <w:t xml:space="preserve">, 2021. Disponível em: https://www.portaldaindustria.com.br/publicacoes/2021/2/nota-economica/#nota-economica-19%20. </w:t>
      </w:r>
      <w:r w:rsidRPr="00CA72FC">
        <w:rPr>
          <w:rFonts w:ascii="Times New Roman" w:eastAsia="Times New Roman" w:hAnsi="Times New Roman"/>
        </w:rPr>
        <w:t>Acesso em: 6 dez. 2021</w:t>
      </w:r>
    </w:p>
    <w:p w14:paraId="30AF7A60" w14:textId="67FE9FB4" w:rsidR="00CA72FC" w:rsidRPr="00CA72FC" w:rsidRDefault="00CA72FC" w:rsidP="00E06BE9">
      <w:pPr>
        <w:widowControl w:val="0"/>
        <w:autoSpaceDE w:val="0"/>
        <w:autoSpaceDN w:val="0"/>
        <w:adjustRightInd w:val="0"/>
        <w:spacing w:line="240" w:lineRule="auto"/>
        <w:rPr>
          <w:rFonts w:ascii="Times New Roman" w:eastAsia="Times New Roman" w:hAnsi="Times New Roman"/>
        </w:rPr>
      </w:pPr>
      <w:r w:rsidRPr="00CA72FC">
        <w:rPr>
          <w:rFonts w:ascii="Times New Roman" w:eastAsia="Times New Roman" w:hAnsi="Times New Roman"/>
        </w:rPr>
        <w:t xml:space="preserve">DE JONG, P.; KIPERSTOK, A.; TORRES, E. Economic and environmental analysis of </w:t>
      </w:r>
      <w:r w:rsidRPr="00CA72FC">
        <w:rPr>
          <w:rFonts w:ascii="Times New Roman" w:eastAsia="Times New Roman" w:hAnsi="Times New Roman"/>
        </w:rPr>
        <w:lastRenderedPageBreak/>
        <w:t xml:space="preserve">electricity generation technologies in Brazil. </w:t>
      </w:r>
      <w:r w:rsidRPr="00CA72FC">
        <w:rPr>
          <w:rFonts w:ascii="Times New Roman" w:eastAsia="Times New Roman" w:hAnsi="Times New Roman"/>
          <w:b/>
        </w:rPr>
        <w:t>Renewable and Sustainable Energy Reviews</w:t>
      </w:r>
      <w:r w:rsidRPr="00CA72FC">
        <w:rPr>
          <w:rFonts w:ascii="Times New Roman" w:eastAsia="Times New Roman" w:hAnsi="Times New Roman"/>
        </w:rPr>
        <w:t>, v. 52, p. 725–739, 2015. DOI: https://doi.org/10.1016/j.rser.2015.06.064.</w:t>
      </w:r>
    </w:p>
    <w:p w14:paraId="56F685B9" w14:textId="77777777" w:rsidR="00CA72FC" w:rsidRPr="00CA72FC" w:rsidRDefault="00CA72FC" w:rsidP="00E06BE9">
      <w:pPr>
        <w:widowControl w:val="0"/>
        <w:autoSpaceDE w:val="0"/>
        <w:autoSpaceDN w:val="0"/>
        <w:adjustRightInd w:val="0"/>
        <w:spacing w:line="240" w:lineRule="auto"/>
        <w:rPr>
          <w:rFonts w:ascii="Times New Roman" w:eastAsia="Times New Roman" w:hAnsi="Times New Roman"/>
        </w:rPr>
      </w:pPr>
      <w:r w:rsidRPr="00522DCF">
        <w:rPr>
          <w:rFonts w:ascii="Times New Roman" w:eastAsia="Times New Roman" w:hAnsi="Times New Roman"/>
          <w:lang w:val="pt-BR"/>
        </w:rPr>
        <w:t xml:space="preserve">FIRME, V.; PEROBELLI, F. O Setor Energético Brasileiro: Uma Análise Via Indicadores de Insumo-Produto e o Modelo Híbrido para os Anos de 1997 e 2002. </w:t>
      </w:r>
      <w:r w:rsidRPr="00CA72FC">
        <w:rPr>
          <w:rFonts w:ascii="Times New Roman" w:eastAsia="Times New Roman" w:hAnsi="Times New Roman"/>
          <w:b/>
        </w:rPr>
        <w:t>Planejamento e Políticas Públicas</w:t>
      </w:r>
      <w:r w:rsidRPr="00CA72FC">
        <w:rPr>
          <w:rFonts w:ascii="Times New Roman" w:eastAsia="Times New Roman" w:hAnsi="Times New Roman"/>
        </w:rPr>
        <w:t>, n. 39, 2012.</w:t>
      </w:r>
    </w:p>
    <w:p w14:paraId="4A74E3AC" w14:textId="77777777" w:rsidR="00CA72FC" w:rsidRPr="00522DCF" w:rsidRDefault="00CA72FC" w:rsidP="00E06BE9">
      <w:pPr>
        <w:widowControl w:val="0"/>
        <w:autoSpaceDE w:val="0"/>
        <w:autoSpaceDN w:val="0"/>
        <w:adjustRightInd w:val="0"/>
        <w:spacing w:line="240" w:lineRule="auto"/>
        <w:rPr>
          <w:rFonts w:ascii="Times New Roman" w:eastAsia="Times New Roman" w:hAnsi="Times New Roman"/>
          <w:lang w:val="pt-BR"/>
        </w:rPr>
      </w:pPr>
      <w:r w:rsidRPr="00CA72FC">
        <w:rPr>
          <w:rFonts w:ascii="Times New Roman" w:eastAsia="Times New Roman" w:hAnsi="Times New Roman"/>
        </w:rPr>
        <w:t xml:space="preserve">GHOSH, A. Input-Output Approach in an Allocation System. </w:t>
      </w:r>
      <w:r w:rsidRPr="00522DCF">
        <w:rPr>
          <w:rFonts w:ascii="Times New Roman" w:eastAsia="Times New Roman" w:hAnsi="Times New Roman"/>
          <w:b/>
          <w:lang w:val="pt-BR"/>
        </w:rPr>
        <w:t>Economica</w:t>
      </w:r>
      <w:r w:rsidRPr="00522DCF">
        <w:rPr>
          <w:rFonts w:ascii="Times New Roman" w:eastAsia="Times New Roman" w:hAnsi="Times New Roman"/>
          <w:lang w:val="pt-BR"/>
        </w:rPr>
        <w:t>, v. 25, n. 97, p. 58, 1958. DOI: https://doi.org/10.2307/2550694.</w:t>
      </w:r>
    </w:p>
    <w:p w14:paraId="014F12AF" w14:textId="7EFF77B1" w:rsidR="00CA72FC" w:rsidRPr="00522DCF" w:rsidRDefault="00CA72FC" w:rsidP="00E06BE9">
      <w:pPr>
        <w:widowControl w:val="0"/>
        <w:autoSpaceDE w:val="0"/>
        <w:autoSpaceDN w:val="0"/>
        <w:adjustRightInd w:val="0"/>
        <w:spacing w:line="240" w:lineRule="auto"/>
        <w:rPr>
          <w:rFonts w:ascii="Times New Roman" w:eastAsia="Times New Roman" w:hAnsi="Times New Roman"/>
          <w:lang w:val="pt-BR"/>
        </w:rPr>
      </w:pPr>
      <w:r w:rsidRPr="00522DCF">
        <w:rPr>
          <w:rFonts w:ascii="Times New Roman" w:eastAsia="Times New Roman" w:hAnsi="Times New Roman"/>
          <w:lang w:val="pt-BR"/>
        </w:rPr>
        <w:t>GUILHOTO, J.</w:t>
      </w:r>
      <w:r w:rsidR="004D2BEB" w:rsidRPr="00522DCF">
        <w:rPr>
          <w:rFonts w:ascii="Times New Roman" w:eastAsia="Times New Roman" w:hAnsi="Times New Roman"/>
          <w:lang w:val="pt-BR"/>
        </w:rPr>
        <w:t>; AZZONI, C</w:t>
      </w:r>
      <w:r w:rsidR="002B1703" w:rsidRPr="00522DCF">
        <w:rPr>
          <w:rFonts w:ascii="Times New Roman" w:eastAsia="Times New Roman" w:hAnsi="Times New Roman"/>
          <w:lang w:val="pt-BR"/>
        </w:rPr>
        <w:t>.</w:t>
      </w:r>
      <w:r w:rsidR="004D2BEB" w:rsidRPr="00522DCF">
        <w:rPr>
          <w:rFonts w:ascii="Times New Roman" w:eastAsia="Times New Roman" w:hAnsi="Times New Roman"/>
          <w:lang w:val="pt-BR"/>
        </w:rPr>
        <w:t>; ICHIHARA, S</w:t>
      </w:r>
      <w:r w:rsidR="002B1703" w:rsidRPr="00522DCF">
        <w:rPr>
          <w:rFonts w:ascii="Times New Roman" w:eastAsia="Times New Roman" w:hAnsi="Times New Roman"/>
          <w:lang w:val="pt-BR"/>
        </w:rPr>
        <w:t>.</w:t>
      </w:r>
      <w:r w:rsidR="004D2BEB" w:rsidRPr="00522DCF">
        <w:rPr>
          <w:rFonts w:ascii="Times New Roman" w:eastAsia="Times New Roman" w:hAnsi="Times New Roman"/>
          <w:lang w:val="pt-BR"/>
        </w:rPr>
        <w:t>; KADOTA, D</w:t>
      </w:r>
      <w:r w:rsidR="002B1703" w:rsidRPr="00522DCF">
        <w:rPr>
          <w:rFonts w:ascii="Times New Roman" w:eastAsia="Times New Roman" w:hAnsi="Times New Roman"/>
          <w:lang w:val="pt-BR"/>
        </w:rPr>
        <w:t>.</w:t>
      </w:r>
      <w:r w:rsidR="004D2BEB" w:rsidRPr="00522DCF">
        <w:rPr>
          <w:rFonts w:ascii="Times New Roman" w:eastAsia="Times New Roman" w:hAnsi="Times New Roman"/>
          <w:lang w:val="pt-BR"/>
        </w:rPr>
        <w:t xml:space="preserve">; </w:t>
      </w:r>
      <w:r w:rsidR="00696C24" w:rsidRPr="00522DCF">
        <w:rPr>
          <w:rFonts w:ascii="Times New Roman" w:eastAsia="Times New Roman" w:hAnsi="Times New Roman"/>
          <w:lang w:val="pt-BR"/>
        </w:rPr>
        <w:t>HADDAD, E</w:t>
      </w:r>
      <w:r w:rsidRPr="00522DCF">
        <w:rPr>
          <w:rFonts w:ascii="Times New Roman" w:eastAsia="Times New Roman" w:hAnsi="Times New Roman"/>
          <w:lang w:val="pt-BR"/>
        </w:rPr>
        <w:t xml:space="preserve">. </w:t>
      </w:r>
      <w:r w:rsidRPr="00522DCF">
        <w:rPr>
          <w:rFonts w:ascii="Times New Roman" w:eastAsia="Times New Roman" w:hAnsi="Times New Roman"/>
          <w:b/>
          <w:lang w:val="pt-BR"/>
        </w:rPr>
        <w:t>Matriz de Insumo-Produto do Nordeste e Estados: Metodologia e Resultados</w:t>
      </w:r>
      <w:r w:rsidRPr="00522DCF">
        <w:rPr>
          <w:rFonts w:ascii="Times New Roman" w:eastAsia="Times New Roman" w:hAnsi="Times New Roman"/>
          <w:lang w:val="pt-BR"/>
        </w:rPr>
        <w:t>, 2010. Disponível em: https://papers.ssrn.com/abstract=1853629. Acesso em: 21 dez. 2023.</w:t>
      </w:r>
    </w:p>
    <w:p w14:paraId="518C64D7" w14:textId="58F72864" w:rsidR="00CA72FC" w:rsidRPr="00522DCF" w:rsidRDefault="00CA72FC" w:rsidP="00E06BE9">
      <w:pPr>
        <w:widowControl w:val="0"/>
        <w:autoSpaceDE w:val="0"/>
        <w:autoSpaceDN w:val="0"/>
        <w:adjustRightInd w:val="0"/>
        <w:spacing w:line="240" w:lineRule="auto"/>
        <w:rPr>
          <w:rFonts w:ascii="Times New Roman" w:eastAsia="Times New Roman" w:hAnsi="Times New Roman"/>
          <w:lang w:val="pt-BR"/>
        </w:rPr>
      </w:pPr>
      <w:r w:rsidRPr="00522DCF">
        <w:rPr>
          <w:rFonts w:ascii="Times New Roman" w:eastAsia="Times New Roman" w:hAnsi="Times New Roman"/>
          <w:lang w:val="pt-BR"/>
        </w:rPr>
        <w:t>GUILHOTO, J</w:t>
      </w:r>
      <w:r w:rsidR="002B1703" w:rsidRPr="00522DCF">
        <w:rPr>
          <w:rFonts w:ascii="Times New Roman" w:eastAsia="Times New Roman" w:hAnsi="Times New Roman"/>
          <w:lang w:val="pt-BR"/>
        </w:rPr>
        <w:t>.</w:t>
      </w:r>
      <w:r w:rsidR="00696C24" w:rsidRPr="00522DCF">
        <w:rPr>
          <w:rFonts w:ascii="Times New Roman" w:eastAsia="Times New Roman" w:hAnsi="Times New Roman"/>
          <w:lang w:val="pt-BR"/>
        </w:rPr>
        <w:t>; SONIS, M</w:t>
      </w:r>
      <w:r w:rsidR="002B1703" w:rsidRPr="00522DCF">
        <w:rPr>
          <w:rFonts w:ascii="Times New Roman" w:eastAsia="Times New Roman" w:hAnsi="Times New Roman"/>
          <w:lang w:val="pt-BR"/>
        </w:rPr>
        <w:t>.</w:t>
      </w:r>
      <w:r w:rsidR="00696C24" w:rsidRPr="00522DCF">
        <w:rPr>
          <w:rFonts w:ascii="Times New Roman" w:eastAsia="Times New Roman" w:hAnsi="Times New Roman"/>
          <w:lang w:val="pt-BR"/>
        </w:rPr>
        <w:t>; HEWINGS</w:t>
      </w:r>
      <w:r w:rsidR="00750725" w:rsidRPr="00522DCF">
        <w:rPr>
          <w:rFonts w:ascii="Times New Roman" w:eastAsia="Times New Roman" w:hAnsi="Times New Roman"/>
          <w:lang w:val="pt-BR"/>
        </w:rPr>
        <w:t>, G</w:t>
      </w:r>
      <w:r w:rsidR="002B1703" w:rsidRPr="00522DCF">
        <w:rPr>
          <w:rFonts w:ascii="Times New Roman" w:eastAsia="Times New Roman" w:hAnsi="Times New Roman"/>
          <w:lang w:val="pt-BR"/>
        </w:rPr>
        <w:t>.</w:t>
      </w:r>
      <w:r w:rsidR="00750725" w:rsidRPr="00522DCF">
        <w:rPr>
          <w:rFonts w:ascii="Times New Roman" w:eastAsia="Times New Roman" w:hAnsi="Times New Roman"/>
          <w:lang w:val="pt-BR"/>
        </w:rPr>
        <w:t>; MARTINS, E</w:t>
      </w:r>
      <w:r w:rsidRPr="00522DCF">
        <w:rPr>
          <w:rFonts w:ascii="Times New Roman" w:eastAsia="Times New Roman" w:hAnsi="Times New Roman"/>
          <w:lang w:val="pt-BR"/>
        </w:rPr>
        <w:t xml:space="preserve">. Índices de Ligações e Setores Chave na Economia Brasileira: 1959-1980. </w:t>
      </w:r>
      <w:r w:rsidRPr="00522DCF">
        <w:rPr>
          <w:rFonts w:ascii="Times New Roman" w:eastAsia="Times New Roman" w:hAnsi="Times New Roman"/>
          <w:b/>
          <w:lang w:val="pt-BR"/>
        </w:rPr>
        <w:t>Pesquisa e Planejamento Econômico</w:t>
      </w:r>
      <w:r w:rsidRPr="00522DCF">
        <w:rPr>
          <w:rFonts w:ascii="Times New Roman" w:eastAsia="Times New Roman" w:hAnsi="Times New Roman"/>
          <w:lang w:val="pt-BR"/>
        </w:rPr>
        <w:t>, v. 24, 1994. DOI: https://doi.org/10.1080/1331677X.2020.1865180.</w:t>
      </w:r>
    </w:p>
    <w:p w14:paraId="12057ED3" w14:textId="4B2C7524" w:rsidR="00CA72FC" w:rsidRPr="00522DCF" w:rsidRDefault="00CA72FC" w:rsidP="00E06BE9">
      <w:pPr>
        <w:widowControl w:val="0"/>
        <w:autoSpaceDE w:val="0"/>
        <w:autoSpaceDN w:val="0"/>
        <w:adjustRightInd w:val="0"/>
        <w:spacing w:line="240" w:lineRule="auto"/>
        <w:rPr>
          <w:rFonts w:ascii="Times New Roman" w:eastAsia="Times New Roman" w:hAnsi="Times New Roman"/>
          <w:lang w:val="pt-BR"/>
        </w:rPr>
      </w:pPr>
      <w:r w:rsidRPr="00522DCF">
        <w:rPr>
          <w:rFonts w:ascii="Times New Roman" w:eastAsia="Times New Roman" w:hAnsi="Times New Roman"/>
          <w:lang w:val="pt-BR"/>
        </w:rPr>
        <w:t>GUILHOTO, J.</w:t>
      </w:r>
      <w:r w:rsidR="00750725" w:rsidRPr="00522DCF">
        <w:rPr>
          <w:rFonts w:ascii="Times New Roman" w:eastAsia="Times New Roman" w:hAnsi="Times New Roman"/>
          <w:lang w:val="pt-BR"/>
        </w:rPr>
        <w:t>; JÚNIOR, C.;</w:t>
      </w:r>
      <w:r w:rsidR="00F54111" w:rsidRPr="00522DCF">
        <w:rPr>
          <w:rFonts w:ascii="Times New Roman" w:eastAsia="Times New Roman" w:hAnsi="Times New Roman"/>
          <w:lang w:val="pt-BR"/>
        </w:rPr>
        <w:t xml:space="preserve"> IMORI, D.; USSAMI, K</w:t>
      </w:r>
      <w:r w:rsidRPr="00522DCF">
        <w:rPr>
          <w:rFonts w:ascii="Times New Roman" w:eastAsia="Times New Roman" w:hAnsi="Times New Roman"/>
          <w:lang w:val="pt-BR"/>
        </w:rPr>
        <w:t xml:space="preserve">. Sistema interestadual de insumo-produto do </w:t>
      </w:r>
      <w:r w:rsidR="001A159C">
        <w:rPr>
          <w:rFonts w:ascii="Times New Roman" w:eastAsia="Times New Roman" w:hAnsi="Times New Roman"/>
          <w:lang w:val="pt-BR"/>
        </w:rPr>
        <w:t>Brazil</w:t>
      </w:r>
      <w:r w:rsidRPr="00522DCF">
        <w:rPr>
          <w:rFonts w:ascii="Times New Roman" w:eastAsia="Times New Roman" w:hAnsi="Times New Roman"/>
          <w:lang w:val="pt-BR"/>
        </w:rPr>
        <w:t xml:space="preserve">: uma aplicação do método SUIT. </w:t>
      </w:r>
      <w:r w:rsidRPr="00522DCF">
        <w:rPr>
          <w:rFonts w:ascii="Times New Roman" w:eastAsia="Times New Roman" w:hAnsi="Times New Roman"/>
          <w:b/>
          <w:lang w:val="pt-BR"/>
        </w:rPr>
        <w:t>Economia Aplicada</w:t>
      </w:r>
      <w:r w:rsidRPr="00522DCF">
        <w:rPr>
          <w:rFonts w:ascii="Times New Roman" w:eastAsia="Times New Roman" w:hAnsi="Times New Roman"/>
          <w:lang w:val="pt-BR"/>
        </w:rPr>
        <w:t>, v. 23, n. 1, p. 83–112, 2019. DOI: https://doi.org/10.11606/1980-5330/ea139552.</w:t>
      </w:r>
    </w:p>
    <w:p w14:paraId="77DF271C" w14:textId="47172585" w:rsidR="00CA72FC" w:rsidRPr="00522DCF" w:rsidRDefault="00CA72FC" w:rsidP="00E06BE9">
      <w:pPr>
        <w:widowControl w:val="0"/>
        <w:autoSpaceDE w:val="0"/>
        <w:autoSpaceDN w:val="0"/>
        <w:adjustRightInd w:val="0"/>
        <w:spacing w:line="240" w:lineRule="auto"/>
        <w:rPr>
          <w:rFonts w:ascii="Times New Roman" w:eastAsia="Times New Roman" w:hAnsi="Times New Roman"/>
          <w:lang w:val="pt-BR"/>
        </w:rPr>
      </w:pPr>
      <w:r w:rsidRPr="00522DCF">
        <w:rPr>
          <w:rFonts w:ascii="Times New Roman" w:eastAsia="Times New Roman" w:hAnsi="Times New Roman"/>
          <w:lang w:val="pt-BR"/>
        </w:rPr>
        <w:t xml:space="preserve">GUILHOTO, J.; SESSO FILHO, U. Estimação da matriz insumo-produto utilizando dados preliminares das contas nacionais: aplicação e análise de indicadores econômicos para o </w:t>
      </w:r>
      <w:r w:rsidR="001A159C">
        <w:rPr>
          <w:rFonts w:ascii="Times New Roman" w:eastAsia="Times New Roman" w:hAnsi="Times New Roman"/>
          <w:lang w:val="pt-BR"/>
        </w:rPr>
        <w:t>Brazil</w:t>
      </w:r>
      <w:r w:rsidRPr="00522DCF">
        <w:rPr>
          <w:rFonts w:ascii="Times New Roman" w:eastAsia="Times New Roman" w:hAnsi="Times New Roman"/>
          <w:lang w:val="pt-BR"/>
        </w:rPr>
        <w:t xml:space="preserve"> em 2005. </w:t>
      </w:r>
      <w:r w:rsidRPr="00522DCF">
        <w:rPr>
          <w:rFonts w:ascii="Times New Roman" w:eastAsia="Times New Roman" w:hAnsi="Times New Roman"/>
          <w:b/>
          <w:lang w:val="pt-BR"/>
        </w:rPr>
        <w:t>Revista Economia &amp; Tecnologia</w:t>
      </w:r>
      <w:r w:rsidRPr="00522DCF">
        <w:rPr>
          <w:rFonts w:ascii="Times New Roman" w:eastAsia="Times New Roman" w:hAnsi="Times New Roman"/>
          <w:lang w:val="pt-BR"/>
        </w:rPr>
        <w:t>, v. 6, n. 4, 2010. DOI: https://doi.org/10.5380/ret.v6i4.26912.</w:t>
      </w:r>
    </w:p>
    <w:p w14:paraId="46EC61CB" w14:textId="5705DB3E" w:rsidR="00CA72FC" w:rsidRPr="00522DCF" w:rsidRDefault="00CA72FC" w:rsidP="00E06BE9">
      <w:pPr>
        <w:widowControl w:val="0"/>
        <w:autoSpaceDE w:val="0"/>
        <w:autoSpaceDN w:val="0"/>
        <w:adjustRightInd w:val="0"/>
        <w:spacing w:line="240" w:lineRule="auto"/>
        <w:rPr>
          <w:rFonts w:ascii="Times New Roman" w:eastAsia="Times New Roman" w:hAnsi="Times New Roman"/>
          <w:lang w:val="pt-BR"/>
        </w:rPr>
      </w:pPr>
      <w:r w:rsidRPr="00522DCF">
        <w:rPr>
          <w:rFonts w:ascii="Times New Roman" w:eastAsia="Times New Roman" w:hAnsi="Times New Roman"/>
          <w:lang w:val="pt-BR"/>
        </w:rPr>
        <w:t xml:space="preserve">HADDAD, E.; JÚNIOR, C.; NASCIMENTO, T. Matriz Interestadual de Insumo-Produto para o </w:t>
      </w:r>
      <w:r w:rsidR="001A159C">
        <w:rPr>
          <w:rFonts w:ascii="Times New Roman" w:eastAsia="Times New Roman" w:hAnsi="Times New Roman"/>
          <w:lang w:val="pt-BR"/>
        </w:rPr>
        <w:t>Brazil</w:t>
      </w:r>
      <w:r w:rsidRPr="00522DCF">
        <w:rPr>
          <w:rFonts w:ascii="Times New Roman" w:eastAsia="Times New Roman" w:hAnsi="Times New Roman"/>
          <w:lang w:val="pt-BR"/>
        </w:rPr>
        <w:t xml:space="preserve">: uma aplicação do método IIOAS. </w:t>
      </w:r>
      <w:r w:rsidRPr="00522DCF">
        <w:rPr>
          <w:rFonts w:ascii="Times New Roman" w:eastAsia="Times New Roman" w:hAnsi="Times New Roman"/>
          <w:b/>
          <w:lang w:val="pt-BR"/>
        </w:rPr>
        <w:t>Revista Brasileira de Estudos Regionais e Urbanos</w:t>
      </w:r>
      <w:r w:rsidRPr="00522DCF">
        <w:rPr>
          <w:rFonts w:ascii="Times New Roman" w:eastAsia="Times New Roman" w:hAnsi="Times New Roman"/>
          <w:lang w:val="pt-BR"/>
        </w:rPr>
        <w:t xml:space="preserve">, v. 11, n. 4, p. 424–446, 2017. </w:t>
      </w:r>
    </w:p>
    <w:p w14:paraId="75709610" w14:textId="77777777" w:rsidR="00CA72FC" w:rsidRPr="00522DCF" w:rsidRDefault="00CA72FC" w:rsidP="00E06BE9">
      <w:pPr>
        <w:widowControl w:val="0"/>
        <w:autoSpaceDE w:val="0"/>
        <w:autoSpaceDN w:val="0"/>
        <w:adjustRightInd w:val="0"/>
        <w:spacing w:line="240" w:lineRule="auto"/>
        <w:rPr>
          <w:rFonts w:ascii="Times New Roman" w:eastAsia="Times New Roman" w:hAnsi="Times New Roman"/>
          <w:lang w:val="pt-BR"/>
        </w:rPr>
      </w:pPr>
      <w:r w:rsidRPr="00522DCF">
        <w:rPr>
          <w:rFonts w:ascii="Times New Roman" w:eastAsia="Times New Roman" w:hAnsi="Times New Roman"/>
          <w:lang w:val="pt-BR"/>
        </w:rPr>
        <w:t xml:space="preserve">HIRSCHMAN, A. </w:t>
      </w:r>
      <w:r w:rsidRPr="00522DCF">
        <w:rPr>
          <w:rFonts w:ascii="Times New Roman" w:eastAsia="Times New Roman" w:hAnsi="Times New Roman"/>
          <w:b/>
          <w:lang w:val="pt-BR"/>
        </w:rPr>
        <w:t>Estratégia do desenvolvimento econômico</w:t>
      </w:r>
      <w:r w:rsidRPr="00522DCF">
        <w:rPr>
          <w:rFonts w:ascii="Times New Roman" w:eastAsia="Times New Roman" w:hAnsi="Times New Roman"/>
          <w:lang w:val="pt-BR"/>
        </w:rPr>
        <w:t xml:space="preserve">. Fundo de Cultura, 1961. </w:t>
      </w:r>
    </w:p>
    <w:p w14:paraId="7B39E489" w14:textId="4059CD5C" w:rsidR="00CA72FC" w:rsidRPr="00522DCF" w:rsidRDefault="00CA72FC" w:rsidP="00E06BE9">
      <w:pPr>
        <w:widowControl w:val="0"/>
        <w:autoSpaceDE w:val="0"/>
        <w:autoSpaceDN w:val="0"/>
        <w:adjustRightInd w:val="0"/>
        <w:spacing w:line="240" w:lineRule="auto"/>
        <w:rPr>
          <w:rFonts w:ascii="Times New Roman" w:eastAsia="Times New Roman" w:hAnsi="Times New Roman"/>
          <w:lang w:val="pt-BR"/>
        </w:rPr>
      </w:pPr>
      <w:r w:rsidRPr="00522DCF">
        <w:rPr>
          <w:rFonts w:ascii="Times New Roman" w:eastAsia="Times New Roman" w:hAnsi="Times New Roman"/>
          <w:lang w:val="pt-BR"/>
        </w:rPr>
        <w:t xml:space="preserve">IBGE. </w:t>
      </w:r>
      <w:r w:rsidRPr="00522DCF">
        <w:rPr>
          <w:rFonts w:ascii="Times New Roman" w:eastAsia="Times New Roman" w:hAnsi="Times New Roman"/>
          <w:b/>
          <w:lang w:val="pt-BR"/>
        </w:rPr>
        <w:t>Logística de Energia 2015: Redes e Fluxos de Energia</w:t>
      </w:r>
      <w:r w:rsidRPr="00522DCF">
        <w:rPr>
          <w:rFonts w:ascii="Times New Roman" w:eastAsia="Times New Roman" w:hAnsi="Times New Roman"/>
          <w:lang w:val="pt-BR"/>
        </w:rPr>
        <w:t xml:space="preserve">. Rio de Janeiro: </w:t>
      </w:r>
      <w:r w:rsidR="00B21BB3" w:rsidRPr="00522DCF">
        <w:rPr>
          <w:rFonts w:ascii="Times New Roman" w:eastAsia="Times New Roman" w:hAnsi="Times New Roman"/>
          <w:lang w:val="pt-BR"/>
        </w:rPr>
        <w:t>Instituto Brasileiro de Geografia e Estatística (IBGE)</w:t>
      </w:r>
      <w:r w:rsidRPr="00522DCF">
        <w:rPr>
          <w:rFonts w:ascii="Times New Roman" w:eastAsia="Times New Roman" w:hAnsi="Times New Roman"/>
          <w:lang w:val="pt-BR"/>
        </w:rPr>
        <w:t xml:space="preserve">, 2016. </w:t>
      </w:r>
    </w:p>
    <w:p w14:paraId="77015E5E" w14:textId="77777777" w:rsidR="00CA72FC" w:rsidRPr="00522DCF" w:rsidRDefault="00CA72FC" w:rsidP="00E06BE9">
      <w:pPr>
        <w:widowControl w:val="0"/>
        <w:autoSpaceDE w:val="0"/>
        <w:autoSpaceDN w:val="0"/>
        <w:adjustRightInd w:val="0"/>
        <w:spacing w:line="240" w:lineRule="auto"/>
        <w:rPr>
          <w:rFonts w:ascii="Times New Roman" w:eastAsia="Times New Roman" w:hAnsi="Times New Roman"/>
          <w:lang w:val="pt-BR"/>
        </w:rPr>
      </w:pPr>
      <w:r w:rsidRPr="00522DCF">
        <w:rPr>
          <w:rFonts w:ascii="Times New Roman" w:eastAsia="Times New Roman" w:hAnsi="Times New Roman"/>
          <w:lang w:val="pt-BR"/>
        </w:rPr>
        <w:t xml:space="preserve">IEA. </w:t>
      </w:r>
      <w:r w:rsidRPr="00522DCF">
        <w:rPr>
          <w:rFonts w:ascii="Times New Roman" w:eastAsia="Times New Roman" w:hAnsi="Times New Roman"/>
          <w:b/>
          <w:lang w:val="pt-BR"/>
        </w:rPr>
        <w:t>World Energy Outlook 2021</w:t>
      </w:r>
      <w:r w:rsidRPr="00522DCF">
        <w:rPr>
          <w:rFonts w:ascii="Times New Roman" w:eastAsia="Times New Roman" w:hAnsi="Times New Roman"/>
          <w:lang w:val="pt-BR"/>
        </w:rPr>
        <w:t>, 2021. Disponível em: https://www.iea.org/reports/world-energy-outlook-2021. Acesso em: 17 dez. 2021</w:t>
      </w:r>
    </w:p>
    <w:p w14:paraId="0A8E2D12" w14:textId="23D5EDE4" w:rsidR="00CA72FC" w:rsidRPr="00CA72FC" w:rsidRDefault="00CA72FC" w:rsidP="00E06BE9">
      <w:pPr>
        <w:widowControl w:val="0"/>
        <w:autoSpaceDE w:val="0"/>
        <w:autoSpaceDN w:val="0"/>
        <w:adjustRightInd w:val="0"/>
        <w:spacing w:line="240" w:lineRule="auto"/>
        <w:rPr>
          <w:rFonts w:ascii="Times New Roman" w:eastAsia="Times New Roman" w:hAnsi="Times New Roman"/>
        </w:rPr>
      </w:pPr>
      <w:r w:rsidRPr="00CA72FC">
        <w:rPr>
          <w:rFonts w:ascii="Times New Roman" w:eastAsia="Times New Roman" w:hAnsi="Times New Roman"/>
        </w:rPr>
        <w:t>ISARD, W.</w:t>
      </w:r>
      <w:r w:rsidR="00F54111">
        <w:rPr>
          <w:rFonts w:ascii="Times New Roman" w:eastAsia="Times New Roman" w:hAnsi="Times New Roman"/>
        </w:rPr>
        <w:t>; AZIS</w:t>
      </w:r>
      <w:r w:rsidR="008D1AEA">
        <w:rPr>
          <w:rFonts w:ascii="Times New Roman" w:eastAsia="Times New Roman" w:hAnsi="Times New Roman"/>
        </w:rPr>
        <w:t>, I.; DRENNAN, M</w:t>
      </w:r>
      <w:r w:rsidR="00D60D56">
        <w:rPr>
          <w:rFonts w:ascii="Times New Roman" w:eastAsia="Times New Roman" w:hAnsi="Times New Roman"/>
        </w:rPr>
        <w:t>.</w:t>
      </w:r>
      <w:r w:rsidR="008D1AEA">
        <w:rPr>
          <w:rFonts w:ascii="Times New Roman" w:eastAsia="Times New Roman" w:hAnsi="Times New Roman"/>
        </w:rPr>
        <w:t>; MILLER, R</w:t>
      </w:r>
      <w:r w:rsidR="00D60D56">
        <w:rPr>
          <w:rFonts w:ascii="Times New Roman" w:eastAsia="Times New Roman" w:hAnsi="Times New Roman"/>
        </w:rPr>
        <w:t>.</w:t>
      </w:r>
      <w:r w:rsidR="008D1AEA">
        <w:rPr>
          <w:rFonts w:ascii="Times New Roman" w:eastAsia="Times New Roman" w:hAnsi="Times New Roman"/>
        </w:rPr>
        <w:t xml:space="preserve">; </w:t>
      </w:r>
      <w:r w:rsidR="003805AB">
        <w:rPr>
          <w:rFonts w:ascii="Times New Roman" w:eastAsia="Times New Roman" w:hAnsi="Times New Roman"/>
        </w:rPr>
        <w:t>SALTZMAN, S</w:t>
      </w:r>
      <w:r w:rsidR="00D60D56">
        <w:rPr>
          <w:rFonts w:ascii="Times New Roman" w:eastAsia="Times New Roman" w:hAnsi="Times New Roman"/>
        </w:rPr>
        <w:t>.</w:t>
      </w:r>
      <w:r w:rsidR="003805AB">
        <w:rPr>
          <w:rFonts w:ascii="Times New Roman" w:eastAsia="Times New Roman" w:hAnsi="Times New Roman"/>
        </w:rPr>
        <w:t>; THORBECKE, E.</w:t>
      </w:r>
      <w:r w:rsidRPr="00CA72FC">
        <w:rPr>
          <w:rFonts w:ascii="Times New Roman" w:eastAsia="Times New Roman" w:hAnsi="Times New Roman"/>
        </w:rPr>
        <w:t xml:space="preserve"> </w:t>
      </w:r>
      <w:r w:rsidRPr="00CA72FC">
        <w:rPr>
          <w:rFonts w:ascii="Times New Roman" w:eastAsia="Times New Roman" w:hAnsi="Times New Roman"/>
          <w:b/>
        </w:rPr>
        <w:t>Methods of Interregional and Regional Analysis</w:t>
      </w:r>
      <w:r w:rsidRPr="00CA72FC">
        <w:rPr>
          <w:rFonts w:ascii="Times New Roman" w:eastAsia="Times New Roman" w:hAnsi="Times New Roman"/>
        </w:rPr>
        <w:t xml:space="preserve">. Routledge, 1998. </w:t>
      </w:r>
    </w:p>
    <w:p w14:paraId="0B63B4D4" w14:textId="77777777" w:rsidR="00CA72FC" w:rsidRPr="00CA72FC" w:rsidRDefault="00CA72FC" w:rsidP="00E06BE9">
      <w:pPr>
        <w:widowControl w:val="0"/>
        <w:autoSpaceDE w:val="0"/>
        <w:autoSpaceDN w:val="0"/>
        <w:adjustRightInd w:val="0"/>
        <w:spacing w:line="240" w:lineRule="auto"/>
        <w:rPr>
          <w:rFonts w:ascii="Times New Roman" w:eastAsia="Times New Roman" w:hAnsi="Times New Roman"/>
        </w:rPr>
      </w:pPr>
      <w:r w:rsidRPr="00CA72FC">
        <w:rPr>
          <w:rFonts w:ascii="Times New Roman" w:eastAsia="Times New Roman" w:hAnsi="Times New Roman"/>
        </w:rPr>
        <w:t xml:space="preserve">LEONTIEF, W. </w:t>
      </w:r>
      <w:r w:rsidRPr="00CA72FC">
        <w:rPr>
          <w:rFonts w:ascii="Times New Roman" w:eastAsia="Times New Roman" w:hAnsi="Times New Roman"/>
          <w:b/>
        </w:rPr>
        <w:t>Input-Output Economics</w:t>
      </w:r>
      <w:r w:rsidRPr="00CA72FC">
        <w:rPr>
          <w:rFonts w:ascii="Times New Roman" w:eastAsia="Times New Roman" w:hAnsi="Times New Roman"/>
        </w:rPr>
        <w:t xml:space="preserve">. Second Edition ed. Oxford, New York: Oxford University Press, 1986. </w:t>
      </w:r>
    </w:p>
    <w:p w14:paraId="0B1CDFB8" w14:textId="77777777" w:rsidR="00CA72FC" w:rsidRPr="00522DCF" w:rsidRDefault="00CA72FC" w:rsidP="00E06BE9">
      <w:pPr>
        <w:widowControl w:val="0"/>
        <w:autoSpaceDE w:val="0"/>
        <w:autoSpaceDN w:val="0"/>
        <w:adjustRightInd w:val="0"/>
        <w:spacing w:line="240" w:lineRule="auto"/>
        <w:rPr>
          <w:rFonts w:ascii="Times New Roman" w:eastAsia="Times New Roman" w:hAnsi="Times New Roman"/>
          <w:lang w:val="pt-BR"/>
        </w:rPr>
      </w:pPr>
      <w:r w:rsidRPr="00CA72FC">
        <w:rPr>
          <w:rFonts w:ascii="Times New Roman" w:eastAsia="Times New Roman" w:hAnsi="Times New Roman"/>
        </w:rPr>
        <w:t xml:space="preserve">MILLER, R.; BLAIR, P. </w:t>
      </w:r>
      <w:r w:rsidRPr="00CA72FC">
        <w:rPr>
          <w:rFonts w:ascii="Times New Roman" w:eastAsia="Times New Roman" w:hAnsi="Times New Roman"/>
          <w:b/>
        </w:rPr>
        <w:t>Input-Output Analysis: Foundations and Extensions</w:t>
      </w:r>
      <w:r w:rsidRPr="00CA72FC">
        <w:rPr>
          <w:rFonts w:ascii="Times New Roman" w:eastAsia="Times New Roman" w:hAnsi="Times New Roman"/>
        </w:rPr>
        <w:t xml:space="preserve">. </w:t>
      </w:r>
      <w:r w:rsidRPr="00522DCF">
        <w:rPr>
          <w:rFonts w:ascii="Times New Roman" w:eastAsia="Times New Roman" w:hAnsi="Times New Roman"/>
          <w:lang w:val="pt-BR"/>
        </w:rPr>
        <w:t xml:space="preserve">2. ed. Cambridge: Cambridge University Press, 2009. </w:t>
      </w:r>
    </w:p>
    <w:p w14:paraId="6DBF39E2" w14:textId="1CD57925" w:rsidR="00CA72FC" w:rsidRPr="00522DCF" w:rsidRDefault="00CA72FC" w:rsidP="00E06BE9">
      <w:pPr>
        <w:widowControl w:val="0"/>
        <w:autoSpaceDE w:val="0"/>
        <w:autoSpaceDN w:val="0"/>
        <w:adjustRightInd w:val="0"/>
        <w:spacing w:line="240" w:lineRule="auto"/>
        <w:rPr>
          <w:rFonts w:ascii="Times New Roman" w:eastAsia="Times New Roman" w:hAnsi="Times New Roman"/>
          <w:lang w:val="pt-BR"/>
        </w:rPr>
      </w:pPr>
      <w:r w:rsidRPr="00522DCF">
        <w:rPr>
          <w:rFonts w:ascii="Times New Roman" w:eastAsia="Times New Roman" w:hAnsi="Times New Roman"/>
          <w:lang w:val="pt-BR"/>
        </w:rPr>
        <w:lastRenderedPageBreak/>
        <w:t>MONTOYA, M.</w:t>
      </w:r>
      <w:r w:rsidR="003805AB" w:rsidRPr="00522DCF">
        <w:rPr>
          <w:rFonts w:ascii="Times New Roman" w:eastAsia="Times New Roman" w:hAnsi="Times New Roman"/>
          <w:lang w:val="pt-BR"/>
        </w:rPr>
        <w:t>; PASQUAL, C.; LOPES, R</w:t>
      </w:r>
      <w:r w:rsidR="002B1703" w:rsidRPr="00522DCF">
        <w:rPr>
          <w:rFonts w:ascii="Times New Roman" w:eastAsia="Times New Roman" w:hAnsi="Times New Roman"/>
          <w:lang w:val="pt-BR"/>
        </w:rPr>
        <w:t>.</w:t>
      </w:r>
      <w:r w:rsidR="003805AB" w:rsidRPr="00522DCF">
        <w:rPr>
          <w:rFonts w:ascii="Times New Roman" w:eastAsia="Times New Roman" w:hAnsi="Times New Roman"/>
          <w:lang w:val="pt-BR"/>
        </w:rPr>
        <w:t xml:space="preserve">; </w:t>
      </w:r>
      <w:r w:rsidR="00D60D56" w:rsidRPr="00522DCF">
        <w:rPr>
          <w:rFonts w:ascii="Times New Roman" w:eastAsia="Times New Roman" w:hAnsi="Times New Roman"/>
          <w:lang w:val="pt-BR"/>
        </w:rPr>
        <w:t>GUILHOTO, J</w:t>
      </w:r>
      <w:r w:rsidRPr="00522DCF">
        <w:rPr>
          <w:rFonts w:ascii="Times New Roman" w:eastAsia="Times New Roman" w:hAnsi="Times New Roman"/>
          <w:lang w:val="pt-BR"/>
        </w:rPr>
        <w:t xml:space="preserve">. As relações intersetoriais do setor energético na economia brasileira: uma abordagem insumo-produto. </w:t>
      </w:r>
      <w:r w:rsidRPr="00522DCF">
        <w:rPr>
          <w:rFonts w:ascii="Times New Roman" w:eastAsia="Times New Roman" w:hAnsi="Times New Roman"/>
          <w:b/>
          <w:lang w:val="pt-BR"/>
        </w:rPr>
        <w:t>Revista Teoria e Evidência Econômica</w:t>
      </w:r>
      <w:r w:rsidRPr="00522DCF">
        <w:rPr>
          <w:rFonts w:ascii="Times New Roman" w:eastAsia="Times New Roman" w:hAnsi="Times New Roman"/>
          <w:lang w:val="pt-BR"/>
        </w:rPr>
        <w:t>, v. 21, n. 44, 2015. DOI: https://doi.org/10.5335/rtee.v21i44.5353.</w:t>
      </w:r>
    </w:p>
    <w:p w14:paraId="5C1C7B1A" w14:textId="4AE4B8FE" w:rsidR="00CA72FC" w:rsidRPr="00522DCF" w:rsidRDefault="00CA72FC" w:rsidP="00E06BE9">
      <w:pPr>
        <w:widowControl w:val="0"/>
        <w:autoSpaceDE w:val="0"/>
        <w:autoSpaceDN w:val="0"/>
        <w:adjustRightInd w:val="0"/>
        <w:spacing w:line="240" w:lineRule="auto"/>
        <w:rPr>
          <w:rFonts w:ascii="Times New Roman" w:eastAsia="Times New Roman" w:hAnsi="Times New Roman"/>
          <w:lang w:val="pt-BR"/>
        </w:rPr>
      </w:pPr>
      <w:r w:rsidRPr="00522DCF">
        <w:rPr>
          <w:rFonts w:ascii="Times New Roman" w:eastAsia="Times New Roman" w:hAnsi="Times New Roman"/>
          <w:lang w:val="pt-BR"/>
        </w:rPr>
        <w:t xml:space="preserve">OLIVEIRA, J. </w:t>
      </w:r>
      <w:r w:rsidRPr="00522DCF">
        <w:rPr>
          <w:rFonts w:ascii="Times New Roman" w:eastAsia="Times New Roman" w:hAnsi="Times New Roman"/>
          <w:b/>
          <w:lang w:val="pt-BR"/>
        </w:rPr>
        <w:t xml:space="preserve">Efeitos da equalização tributária regional/setorial no </w:t>
      </w:r>
      <w:r w:rsidR="001A159C">
        <w:rPr>
          <w:rFonts w:ascii="Times New Roman" w:eastAsia="Times New Roman" w:hAnsi="Times New Roman"/>
          <w:b/>
          <w:lang w:val="pt-BR"/>
        </w:rPr>
        <w:t>Brazil</w:t>
      </w:r>
      <w:r w:rsidRPr="00522DCF">
        <w:rPr>
          <w:rFonts w:ascii="Times New Roman" w:eastAsia="Times New Roman" w:hAnsi="Times New Roman"/>
          <w:b/>
          <w:lang w:val="pt-BR"/>
        </w:rPr>
        <w:t>: uma aplicação de equilíbrio geral dinâmico</w:t>
      </w:r>
      <w:r w:rsidRPr="00522DCF">
        <w:rPr>
          <w:rFonts w:ascii="Times New Roman" w:eastAsia="Times New Roman" w:hAnsi="Times New Roman"/>
          <w:lang w:val="pt-BR"/>
        </w:rPr>
        <w:t xml:space="preserve">. Doutorado em Economia — Brasília: </w:t>
      </w:r>
      <w:r w:rsidR="003B3DD4" w:rsidRPr="00522DCF">
        <w:rPr>
          <w:rFonts w:ascii="Times New Roman" w:eastAsia="Times New Roman" w:hAnsi="Times New Roman"/>
          <w:lang w:val="pt-BR"/>
        </w:rPr>
        <w:t>Universidade</w:t>
      </w:r>
      <w:r w:rsidRPr="00522DCF">
        <w:rPr>
          <w:rFonts w:ascii="Times New Roman" w:eastAsia="Times New Roman" w:hAnsi="Times New Roman"/>
          <w:lang w:val="pt-BR"/>
        </w:rPr>
        <w:t xml:space="preserve"> de Brasília, 2020.</w:t>
      </w:r>
    </w:p>
    <w:p w14:paraId="4BAB72C8" w14:textId="77777777" w:rsidR="00CA72FC" w:rsidRPr="00CA72FC" w:rsidRDefault="00CA72FC" w:rsidP="00E06BE9">
      <w:pPr>
        <w:widowControl w:val="0"/>
        <w:autoSpaceDE w:val="0"/>
        <w:autoSpaceDN w:val="0"/>
        <w:adjustRightInd w:val="0"/>
        <w:spacing w:line="240" w:lineRule="auto"/>
        <w:rPr>
          <w:rFonts w:ascii="Times New Roman" w:eastAsia="Times New Roman" w:hAnsi="Times New Roman"/>
        </w:rPr>
      </w:pPr>
      <w:r w:rsidRPr="00522DCF">
        <w:rPr>
          <w:rFonts w:ascii="Times New Roman" w:eastAsia="Times New Roman" w:hAnsi="Times New Roman"/>
          <w:lang w:val="pt-BR"/>
        </w:rPr>
        <w:t xml:space="preserve">PAO, H.-T.; FU, H.-C. The causal relationship between energy resources and economic growth in Brazil. </w:t>
      </w:r>
      <w:r w:rsidRPr="00CA72FC">
        <w:rPr>
          <w:rFonts w:ascii="Times New Roman" w:eastAsia="Times New Roman" w:hAnsi="Times New Roman"/>
          <w:b/>
        </w:rPr>
        <w:t>Energy Policy</w:t>
      </w:r>
      <w:r w:rsidRPr="00CA72FC">
        <w:rPr>
          <w:rFonts w:ascii="Times New Roman" w:eastAsia="Times New Roman" w:hAnsi="Times New Roman"/>
        </w:rPr>
        <w:t>, v. 61, p. 793–801, 2013. DOI: https://doi.org/10.1016/j.enpol.2013.06.113.</w:t>
      </w:r>
    </w:p>
    <w:p w14:paraId="0B5F306F" w14:textId="7FF75ED4" w:rsidR="00CA72FC" w:rsidRPr="00CA72FC" w:rsidRDefault="00CA72FC" w:rsidP="00E06BE9">
      <w:pPr>
        <w:widowControl w:val="0"/>
        <w:autoSpaceDE w:val="0"/>
        <w:autoSpaceDN w:val="0"/>
        <w:adjustRightInd w:val="0"/>
        <w:spacing w:line="240" w:lineRule="auto"/>
        <w:rPr>
          <w:rFonts w:ascii="Times New Roman" w:eastAsia="Times New Roman" w:hAnsi="Times New Roman"/>
        </w:rPr>
      </w:pPr>
      <w:r w:rsidRPr="00522DCF">
        <w:rPr>
          <w:rFonts w:ascii="Times New Roman" w:eastAsia="Times New Roman" w:hAnsi="Times New Roman"/>
          <w:lang w:val="pt-BR"/>
        </w:rPr>
        <w:t>PEROBELLI, F.</w:t>
      </w:r>
      <w:r w:rsidR="00D60D56" w:rsidRPr="00522DCF">
        <w:rPr>
          <w:rFonts w:ascii="Times New Roman" w:eastAsia="Times New Roman" w:hAnsi="Times New Roman"/>
          <w:lang w:val="pt-BR"/>
        </w:rPr>
        <w:t xml:space="preserve">; HADDAD, E.; </w:t>
      </w:r>
      <w:r w:rsidR="009428CA" w:rsidRPr="00522DCF">
        <w:rPr>
          <w:rFonts w:ascii="Times New Roman" w:eastAsia="Times New Roman" w:hAnsi="Times New Roman"/>
          <w:lang w:val="pt-BR"/>
        </w:rPr>
        <w:t>MOTA, G.; FARINAZZO, R</w:t>
      </w:r>
      <w:r w:rsidRPr="00522DCF">
        <w:rPr>
          <w:rFonts w:ascii="Times New Roman" w:eastAsia="Times New Roman" w:hAnsi="Times New Roman"/>
          <w:lang w:val="pt-BR"/>
        </w:rPr>
        <w:t xml:space="preserve">. Estrutura de interdependência inter-regional no </w:t>
      </w:r>
      <w:r w:rsidR="001A159C">
        <w:rPr>
          <w:rFonts w:ascii="Times New Roman" w:eastAsia="Times New Roman" w:hAnsi="Times New Roman"/>
          <w:lang w:val="pt-BR"/>
        </w:rPr>
        <w:t>Brazil</w:t>
      </w:r>
      <w:r w:rsidRPr="00522DCF">
        <w:rPr>
          <w:rFonts w:ascii="Times New Roman" w:eastAsia="Times New Roman" w:hAnsi="Times New Roman"/>
          <w:lang w:val="pt-BR"/>
        </w:rPr>
        <w:t xml:space="preserve">: uma análise espacial de insumo-produto para os anos de 1996 e 2002. </w:t>
      </w:r>
      <w:r w:rsidRPr="00CA72FC">
        <w:rPr>
          <w:rFonts w:ascii="Times New Roman" w:eastAsia="Times New Roman" w:hAnsi="Times New Roman"/>
          <w:b/>
        </w:rPr>
        <w:t>Pesquisa e Planejamento Econômico</w:t>
      </w:r>
      <w:r w:rsidRPr="00CA72FC">
        <w:rPr>
          <w:rFonts w:ascii="Times New Roman" w:eastAsia="Times New Roman" w:hAnsi="Times New Roman"/>
        </w:rPr>
        <w:t>, 2010.</w:t>
      </w:r>
    </w:p>
    <w:p w14:paraId="5DD1DAA1" w14:textId="77777777" w:rsidR="00CA72FC" w:rsidRPr="00CA72FC" w:rsidRDefault="00CA72FC" w:rsidP="00E06BE9">
      <w:pPr>
        <w:widowControl w:val="0"/>
        <w:autoSpaceDE w:val="0"/>
        <w:autoSpaceDN w:val="0"/>
        <w:adjustRightInd w:val="0"/>
        <w:spacing w:line="240" w:lineRule="auto"/>
        <w:rPr>
          <w:rFonts w:ascii="Times New Roman" w:eastAsia="Times New Roman" w:hAnsi="Times New Roman"/>
        </w:rPr>
      </w:pPr>
      <w:r w:rsidRPr="00CA72FC">
        <w:rPr>
          <w:rFonts w:ascii="Times New Roman" w:eastAsia="Times New Roman" w:hAnsi="Times New Roman"/>
        </w:rPr>
        <w:t xml:space="preserve">RASMUSSEN, P. N. </w:t>
      </w:r>
      <w:r w:rsidRPr="00CA72FC">
        <w:rPr>
          <w:rFonts w:ascii="Times New Roman" w:eastAsia="Times New Roman" w:hAnsi="Times New Roman"/>
          <w:b/>
        </w:rPr>
        <w:t>Studies in Inter-Sectoral Relations</w:t>
      </w:r>
      <w:r w:rsidRPr="00CA72FC">
        <w:rPr>
          <w:rFonts w:ascii="Times New Roman" w:eastAsia="Times New Roman" w:hAnsi="Times New Roman"/>
        </w:rPr>
        <w:t>. Amsterdam; Einar Harcks: North-Holland, 1957.</w:t>
      </w:r>
    </w:p>
    <w:p w14:paraId="56BD3731" w14:textId="77777777" w:rsidR="00CA72FC" w:rsidRPr="00CA72FC" w:rsidRDefault="00CA72FC" w:rsidP="00E06BE9">
      <w:pPr>
        <w:widowControl w:val="0"/>
        <w:autoSpaceDE w:val="0"/>
        <w:autoSpaceDN w:val="0"/>
        <w:adjustRightInd w:val="0"/>
        <w:spacing w:line="240" w:lineRule="auto"/>
        <w:rPr>
          <w:rFonts w:ascii="Times New Roman" w:eastAsia="Times New Roman" w:hAnsi="Times New Roman"/>
        </w:rPr>
      </w:pPr>
      <w:r w:rsidRPr="00CA72FC">
        <w:rPr>
          <w:rFonts w:ascii="Times New Roman" w:eastAsia="Times New Roman" w:hAnsi="Times New Roman"/>
        </w:rPr>
        <w:t xml:space="preserve">ROSER, M. Why did renewables become so cheap so fast? </w:t>
      </w:r>
      <w:r w:rsidRPr="00CA72FC">
        <w:rPr>
          <w:rFonts w:ascii="Times New Roman" w:eastAsia="Times New Roman" w:hAnsi="Times New Roman"/>
          <w:b/>
        </w:rPr>
        <w:t>Our World in Data</w:t>
      </w:r>
      <w:r w:rsidRPr="00CA72FC">
        <w:rPr>
          <w:rFonts w:ascii="Times New Roman" w:eastAsia="Times New Roman" w:hAnsi="Times New Roman"/>
        </w:rPr>
        <w:t xml:space="preserve">, 2023. </w:t>
      </w:r>
    </w:p>
    <w:p w14:paraId="33FB3170" w14:textId="77777777" w:rsidR="00CA72FC" w:rsidRPr="00CA72FC" w:rsidRDefault="00CA72FC" w:rsidP="00E06BE9">
      <w:pPr>
        <w:widowControl w:val="0"/>
        <w:autoSpaceDE w:val="0"/>
        <w:autoSpaceDN w:val="0"/>
        <w:adjustRightInd w:val="0"/>
        <w:spacing w:line="240" w:lineRule="auto"/>
        <w:rPr>
          <w:rFonts w:ascii="Times New Roman" w:eastAsia="Times New Roman" w:hAnsi="Times New Roman"/>
        </w:rPr>
      </w:pPr>
      <w:r w:rsidRPr="00CA72FC">
        <w:rPr>
          <w:rFonts w:ascii="Times New Roman" w:eastAsia="Times New Roman" w:hAnsi="Times New Roman"/>
        </w:rPr>
        <w:t xml:space="preserve">SARWAR, S.; CHEN, W.; WAHEED, R. Electricity consumption, oil price and economic growth: Global perspective. </w:t>
      </w:r>
      <w:r w:rsidRPr="00CA72FC">
        <w:rPr>
          <w:rFonts w:ascii="Times New Roman" w:eastAsia="Times New Roman" w:hAnsi="Times New Roman"/>
          <w:b/>
        </w:rPr>
        <w:t>Renewable and Sustainable Energy Reviews</w:t>
      </w:r>
      <w:r w:rsidRPr="00CA72FC">
        <w:rPr>
          <w:rFonts w:ascii="Times New Roman" w:eastAsia="Times New Roman" w:hAnsi="Times New Roman"/>
        </w:rPr>
        <w:t>, v. 76, p. 9–18, 1 set. 2017. DOI: https://doi.org/10.1016/j.rser.2017.03.063.</w:t>
      </w:r>
    </w:p>
    <w:p w14:paraId="46A458F9" w14:textId="77777777" w:rsidR="00CA72FC" w:rsidRPr="00CA72FC" w:rsidRDefault="00CA72FC" w:rsidP="00E06BE9">
      <w:pPr>
        <w:widowControl w:val="0"/>
        <w:autoSpaceDE w:val="0"/>
        <w:autoSpaceDN w:val="0"/>
        <w:adjustRightInd w:val="0"/>
        <w:spacing w:line="240" w:lineRule="auto"/>
        <w:rPr>
          <w:rFonts w:ascii="Times New Roman" w:eastAsia="Times New Roman" w:hAnsi="Times New Roman"/>
        </w:rPr>
      </w:pPr>
      <w:r w:rsidRPr="00CA72FC">
        <w:rPr>
          <w:rFonts w:ascii="Times New Roman" w:eastAsia="Times New Roman" w:hAnsi="Times New Roman"/>
        </w:rPr>
        <w:t xml:space="preserve">SILVA, R.; NETO, I.; SEIFERT, S. Electricity supply security and the future role of renewable energy sources in Brazil. </w:t>
      </w:r>
      <w:r w:rsidRPr="00CA72FC">
        <w:rPr>
          <w:rFonts w:ascii="Times New Roman" w:eastAsia="Times New Roman" w:hAnsi="Times New Roman"/>
          <w:b/>
        </w:rPr>
        <w:t>Renewable and Sustainable Energy Reviews</w:t>
      </w:r>
      <w:r w:rsidRPr="00CA72FC">
        <w:rPr>
          <w:rFonts w:ascii="Times New Roman" w:eastAsia="Times New Roman" w:hAnsi="Times New Roman"/>
        </w:rPr>
        <w:t>, v. 59, p. 328–341, 2016. DOI: https://doi.org/10.1016/j.rser.2016.01.001.</w:t>
      </w:r>
    </w:p>
    <w:p w14:paraId="29F626A5" w14:textId="77777777" w:rsidR="00CA72FC" w:rsidRPr="00522DCF" w:rsidRDefault="00CA72FC" w:rsidP="00E06BE9">
      <w:pPr>
        <w:widowControl w:val="0"/>
        <w:autoSpaceDE w:val="0"/>
        <w:autoSpaceDN w:val="0"/>
        <w:adjustRightInd w:val="0"/>
        <w:spacing w:line="240" w:lineRule="auto"/>
        <w:rPr>
          <w:rFonts w:ascii="Times New Roman" w:eastAsia="Times New Roman" w:hAnsi="Times New Roman"/>
          <w:lang w:val="pt-BR"/>
        </w:rPr>
      </w:pPr>
      <w:r w:rsidRPr="00CA72FC">
        <w:rPr>
          <w:rFonts w:ascii="Times New Roman" w:eastAsia="Times New Roman" w:hAnsi="Times New Roman"/>
        </w:rPr>
        <w:t xml:space="preserve">STERN, D.; BURKE, P.; BRUNS, S. </w:t>
      </w:r>
      <w:r w:rsidRPr="00CA72FC">
        <w:rPr>
          <w:rFonts w:ascii="Times New Roman" w:eastAsia="Times New Roman" w:hAnsi="Times New Roman"/>
          <w:b/>
        </w:rPr>
        <w:t>The Impact of Electricity on Economic Development: A Macroeconomic Perspective</w:t>
      </w:r>
      <w:r w:rsidRPr="00CA72FC">
        <w:rPr>
          <w:rFonts w:ascii="Times New Roman" w:eastAsia="Times New Roman" w:hAnsi="Times New Roman"/>
        </w:rPr>
        <w:t xml:space="preserve">, 2019. </w:t>
      </w:r>
      <w:r w:rsidRPr="00522DCF">
        <w:rPr>
          <w:rFonts w:ascii="Times New Roman" w:eastAsia="Times New Roman" w:hAnsi="Times New Roman"/>
          <w:lang w:val="pt-BR"/>
        </w:rPr>
        <w:t>Disponível em: https://escholarship.org/uc/item/7jb0015q. Acesso em: 26 dez. 2023</w:t>
      </w:r>
    </w:p>
    <w:p w14:paraId="633547C7" w14:textId="5AE238EA" w:rsidR="00CA72FC" w:rsidRPr="00522DCF" w:rsidRDefault="00CA72FC" w:rsidP="00E06BE9">
      <w:pPr>
        <w:widowControl w:val="0"/>
        <w:autoSpaceDE w:val="0"/>
        <w:autoSpaceDN w:val="0"/>
        <w:adjustRightInd w:val="0"/>
        <w:spacing w:line="240" w:lineRule="auto"/>
        <w:rPr>
          <w:rFonts w:ascii="Times New Roman" w:eastAsia="Times New Roman" w:hAnsi="Times New Roman"/>
          <w:lang w:val="pt-BR"/>
        </w:rPr>
      </w:pPr>
      <w:r w:rsidRPr="00522DCF">
        <w:rPr>
          <w:rFonts w:ascii="Times New Roman" w:eastAsia="Times New Roman" w:hAnsi="Times New Roman"/>
          <w:lang w:val="pt-BR"/>
        </w:rPr>
        <w:t xml:space="preserve">TAKASAGO, M.; MOLLO, M.; GUILHOTO, J. O debate desenvolvimentista no </w:t>
      </w:r>
      <w:r w:rsidR="001A159C">
        <w:rPr>
          <w:rFonts w:ascii="Times New Roman" w:eastAsia="Times New Roman" w:hAnsi="Times New Roman"/>
          <w:lang w:val="pt-BR"/>
        </w:rPr>
        <w:t>Brazil</w:t>
      </w:r>
      <w:r w:rsidRPr="00522DCF">
        <w:rPr>
          <w:rFonts w:ascii="Times New Roman" w:eastAsia="Times New Roman" w:hAnsi="Times New Roman"/>
          <w:lang w:val="pt-BR"/>
        </w:rPr>
        <w:t xml:space="preserve">: discutindo resultados da matriz de insumo-produto. </w:t>
      </w:r>
      <w:r w:rsidRPr="00522DCF">
        <w:rPr>
          <w:rFonts w:ascii="Times New Roman" w:eastAsia="Times New Roman" w:hAnsi="Times New Roman"/>
          <w:b/>
          <w:lang w:val="pt-BR"/>
        </w:rPr>
        <w:t>Planejamento e Políticas Públicas</w:t>
      </w:r>
      <w:r w:rsidRPr="00522DCF">
        <w:rPr>
          <w:rFonts w:ascii="Times New Roman" w:eastAsia="Times New Roman" w:hAnsi="Times New Roman"/>
          <w:lang w:val="pt-BR"/>
        </w:rPr>
        <w:t>, n. 48, 2017.</w:t>
      </w:r>
    </w:p>
    <w:p w14:paraId="0E0F9435" w14:textId="77777777" w:rsidR="00CA72FC" w:rsidRPr="00522DCF" w:rsidRDefault="00CA72FC" w:rsidP="00E06BE9">
      <w:pPr>
        <w:widowControl w:val="0"/>
        <w:autoSpaceDE w:val="0"/>
        <w:autoSpaceDN w:val="0"/>
        <w:adjustRightInd w:val="0"/>
        <w:spacing w:line="240" w:lineRule="auto"/>
        <w:rPr>
          <w:rFonts w:ascii="Times New Roman" w:eastAsia="Times New Roman" w:hAnsi="Times New Roman"/>
          <w:lang w:val="pt-BR"/>
        </w:rPr>
      </w:pPr>
      <w:r w:rsidRPr="00522DCF">
        <w:rPr>
          <w:rFonts w:ascii="Times New Roman" w:eastAsia="Times New Roman" w:hAnsi="Times New Roman"/>
          <w:lang w:val="pt-BR"/>
        </w:rPr>
        <w:t xml:space="preserve">TEMURSHOEV, U.; MILLER, R.; BOUWMEESTER, M. A Note on the Gras Method. </w:t>
      </w:r>
      <w:r w:rsidRPr="00522DCF">
        <w:rPr>
          <w:rFonts w:ascii="Times New Roman" w:eastAsia="Times New Roman" w:hAnsi="Times New Roman"/>
          <w:b/>
          <w:lang w:val="pt-BR"/>
        </w:rPr>
        <w:t>Economic Systems Research</w:t>
      </w:r>
      <w:r w:rsidRPr="00522DCF">
        <w:rPr>
          <w:rFonts w:ascii="Times New Roman" w:eastAsia="Times New Roman" w:hAnsi="Times New Roman"/>
          <w:lang w:val="pt-BR"/>
        </w:rPr>
        <w:t>, v. 25, n. 3, p. 361–367, 2013. DOI: https://doi.org/10.1080/09535314.2012.746645.</w:t>
      </w:r>
    </w:p>
    <w:p w14:paraId="06B572D9" w14:textId="77777777" w:rsidR="00CA72FC" w:rsidRPr="00522DCF" w:rsidRDefault="00CA72FC" w:rsidP="00E06BE9">
      <w:pPr>
        <w:widowControl w:val="0"/>
        <w:autoSpaceDE w:val="0"/>
        <w:autoSpaceDN w:val="0"/>
        <w:adjustRightInd w:val="0"/>
        <w:spacing w:line="240" w:lineRule="auto"/>
        <w:rPr>
          <w:rFonts w:ascii="Times New Roman" w:eastAsia="Times New Roman" w:hAnsi="Times New Roman"/>
          <w:lang w:val="pt-BR"/>
        </w:rPr>
      </w:pPr>
      <w:r w:rsidRPr="00522DCF">
        <w:rPr>
          <w:rFonts w:ascii="Times New Roman" w:eastAsia="Times New Roman" w:hAnsi="Times New Roman"/>
          <w:lang w:val="pt-BR"/>
        </w:rPr>
        <w:t xml:space="preserve">VALE, V.; PEROBELLI, F. </w:t>
      </w:r>
      <w:r w:rsidRPr="00522DCF">
        <w:rPr>
          <w:rFonts w:ascii="Times New Roman" w:eastAsia="Times New Roman" w:hAnsi="Times New Roman"/>
          <w:b/>
          <w:lang w:val="pt-BR"/>
        </w:rPr>
        <w:t>Análise de Insumo-Produto: teoria e aplicações no R</w:t>
      </w:r>
      <w:r w:rsidRPr="00522DCF">
        <w:rPr>
          <w:rFonts w:ascii="Times New Roman" w:eastAsia="Times New Roman" w:hAnsi="Times New Roman"/>
          <w:lang w:val="pt-BR"/>
        </w:rPr>
        <w:t xml:space="preserve">. Curitiba: Nedur/LATES, 2020. </w:t>
      </w:r>
    </w:p>
    <w:p w14:paraId="0B67756E" w14:textId="77777777" w:rsidR="00964343" w:rsidRPr="00522DCF" w:rsidRDefault="00CA72FC" w:rsidP="00CA72FC">
      <w:pPr>
        <w:widowControl w:val="0"/>
        <w:autoSpaceDE w:val="0"/>
        <w:autoSpaceDN w:val="0"/>
        <w:adjustRightInd w:val="0"/>
        <w:rPr>
          <w:rFonts w:ascii="Times New Roman" w:eastAsia="Times New Roman" w:hAnsi="Times New Roman"/>
          <w:sz w:val="24"/>
          <w:lang w:val="pt-BR"/>
        </w:rPr>
      </w:pPr>
      <w:r w:rsidRPr="00522DCF">
        <w:rPr>
          <w:rFonts w:ascii="Times New Roman" w:eastAsia="Times New Roman" w:hAnsi="Times New Roman"/>
          <w:lang w:val="pt-BR"/>
        </w:rPr>
        <w:t xml:space="preserve"> </w:t>
      </w:r>
      <w:r w:rsidRPr="00CA72FC">
        <w:rPr>
          <w:rFonts w:ascii="Times New Roman" w:eastAsia="Times New Roman" w:hAnsi="Times New Roman"/>
          <w:sz w:val="24"/>
        </w:rPr>
        <w:fldChar w:fldCharType="end"/>
      </w:r>
    </w:p>
    <w:p w14:paraId="6E8D9A7D" w14:textId="1B10A294" w:rsidR="008A1E93" w:rsidRPr="008A1E93" w:rsidRDefault="008A1E93" w:rsidP="00CA72FC">
      <w:pPr>
        <w:widowControl w:val="0"/>
        <w:autoSpaceDE w:val="0"/>
        <w:autoSpaceDN w:val="0"/>
        <w:adjustRightInd w:val="0"/>
        <w:spacing w:after="120" w:line="240" w:lineRule="auto"/>
        <w:rPr>
          <w:rFonts w:ascii="Tahoma" w:hAnsi="Tahoma" w:cs="Tahoma"/>
          <w:b/>
          <w:color w:val="000000"/>
          <w:spacing w:val="2"/>
        </w:rPr>
      </w:pPr>
      <w:r>
        <w:rPr>
          <w:rFonts w:ascii="Tahoma" w:hAnsi="Tahoma"/>
          <w:b/>
          <w:color w:val="000000"/>
        </w:rPr>
        <w:lastRenderedPageBreak/>
        <w:t>Appendix</w:t>
      </w:r>
    </w:p>
    <w:p w14:paraId="496C938A" w14:textId="77777777" w:rsidR="008A1E93" w:rsidRPr="008A1E93" w:rsidRDefault="008A1E93" w:rsidP="008A1E93">
      <w:pPr>
        <w:autoSpaceDE w:val="0"/>
        <w:autoSpaceDN w:val="0"/>
        <w:adjustRightInd w:val="0"/>
        <w:spacing w:before="60" w:after="60" w:line="240" w:lineRule="auto"/>
        <w:ind w:firstLine="567"/>
        <w:jc w:val="both"/>
        <w:textAlignment w:val="center"/>
        <w:rPr>
          <w:rFonts w:ascii="Times New Roman" w:hAnsi="Times New Roman" w:cs="Baramond"/>
          <w:color w:val="000000"/>
          <w:lang w:eastAsia="pt-BR"/>
        </w:rPr>
      </w:pPr>
    </w:p>
    <w:p w14:paraId="6564DEC9" w14:textId="77777777" w:rsidR="008A1E93" w:rsidRPr="008A1E93" w:rsidRDefault="008A1E93" w:rsidP="008A1E93">
      <w:pPr>
        <w:autoSpaceDE w:val="0"/>
        <w:autoSpaceDN w:val="0"/>
        <w:adjustRightInd w:val="0"/>
        <w:spacing w:before="60" w:after="60" w:line="240" w:lineRule="auto"/>
        <w:ind w:firstLine="567"/>
        <w:jc w:val="both"/>
        <w:textAlignment w:val="center"/>
        <w:rPr>
          <w:rFonts w:ascii="Times New Roman" w:hAnsi="Times New Roman" w:cs="Baramond"/>
          <w:color w:val="000000"/>
        </w:rPr>
      </w:pPr>
      <w:r>
        <w:rPr>
          <w:rFonts w:ascii="Times New Roman" w:hAnsi="Times New Roman"/>
          <w:color w:val="000000"/>
        </w:rPr>
        <w:t xml:space="preserve">As mentioned in the paper, all estimated national IOTs come from official TRUs and IOTs containing 128 products and 68 sectors, which produces square matrices of order </w:t>
      </w:r>
      <m:oMath>
        <m:r>
          <w:rPr>
            <w:rFonts w:ascii="Cambria Math" w:hAnsi="Cambria Math" w:cs="Baramond"/>
            <w:color w:val="000000"/>
            <w:lang w:eastAsia="pt-BR"/>
          </w:rPr>
          <m:t>n</m:t>
        </m:r>
        <m:r>
          <m:rPr>
            <m:sty m:val="p"/>
          </m:rPr>
          <w:rPr>
            <w:rFonts w:ascii="Cambria Math" w:hAnsi="Cambria Math" w:cs="Baramond"/>
            <w:color w:val="000000"/>
            <w:lang w:eastAsia="pt-BR"/>
          </w:rPr>
          <m:t>=</m:t>
        </m:r>
        <m:r>
          <w:rPr>
            <w:rFonts w:ascii="Cambria Math" w:hAnsi="Cambria Math" w:cs="Baramond"/>
            <w:color w:val="000000"/>
            <w:lang w:eastAsia="pt-BR"/>
          </w:rPr>
          <m:t>68</m:t>
        </m:r>
      </m:oMath>
      <w:r>
        <w:rPr>
          <w:rFonts w:ascii="Times New Roman" w:hAnsi="Times New Roman"/>
          <w:color w:val="000000"/>
        </w:rPr>
        <w:t>. However, to simplify visualization and analysis, the industries were aggregated to a number of 25 activities, in order to preserve equality between supply and demand in each sector, as well as maintain the consistency of the GDP calculated from the three perspectives (expenditure, income and product). Table A1 below presents this aggregation.</w:t>
      </w:r>
    </w:p>
    <w:p w14:paraId="69C3B410" w14:textId="77777777" w:rsidR="008A1E93" w:rsidRPr="008A1E93" w:rsidRDefault="008A1E93" w:rsidP="008A1E93">
      <w:pPr>
        <w:autoSpaceDE w:val="0"/>
        <w:autoSpaceDN w:val="0"/>
        <w:adjustRightInd w:val="0"/>
        <w:spacing w:before="60" w:after="60" w:line="240" w:lineRule="auto"/>
        <w:ind w:firstLine="567"/>
        <w:jc w:val="both"/>
        <w:textAlignment w:val="center"/>
        <w:rPr>
          <w:rFonts w:ascii="Times New Roman" w:hAnsi="Times New Roman" w:cs="Baramond"/>
          <w:color w:val="000000"/>
          <w:lang w:eastAsia="pt-BR"/>
        </w:rPr>
      </w:pPr>
    </w:p>
    <w:p w14:paraId="13DFAAFF" w14:textId="778C6149" w:rsidR="008A1E93" w:rsidRPr="008A1E93" w:rsidRDefault="008A1E93" w:rsidP="008A1E93">
      <w:pPr>
        <w:autoSpaceDE w:val="0"/>
        <w:autoSpaceDN w:val="0"/>
        <w:adjustRightInd w:val="0"/>
        <w:spacing w:after="60" w:line="260" w:lineRule="atLeast"/>
        <w:jc w:val="center"/>
        <w:textAlignment w:val="center"/>
        <w:rPr>
          <w:rFonts w:ascii="Times New Roman" w:hAnsi="Times New Roman"/>
          <w:b/>
          <w:bCs/>
          <w:color w:val="000000"/>
        </w:rPr>
      </w:pPr>
      <w:r>
        <w:rPr>
          <w:rFonts w:ascii="Times New Roman" w:hAnsi="Times New Roman"/>
          <w:b/>
          <w:color w:val="000000"/>
        </w:rPr>
        <w:t>Table A1: Aggregation of Activities by Level</w:t>
      </w:r>
    </w:p>
    <w:tbl>
      <w:tblPr>
        <w:tblStyle w:val="Tabelacomgrade"/>
        <w:tblW w:w="5000" w:type="pct"/>
        <w:jc w:val="center"/>
        <w:tblBorders>
          <w:top w:val="thickThinLargeGap" w:sz="24" w:space="0" w:color="auto"/>
          <w:left w:val="none" w:sz="0" w:space="0" w:color="auto"/>
          <w:bottom w:val="thickThinLargeGap" w:sz="24" w:space="0" w:color="auto"/>
        </w:tblBorders>
        <w:tblLayout w:type="fixed"/>
        <w:tblLook w:val="04A0" w:firstRow="1" w:lastRow="0" w:firstColumn="1" w:lastColumn="0" w:noHBand="0" w:noVBand="1"/>
      </w:tblPr>
      <w:tblGrid>
        <w:gridCol w:w="2835"/>
        <w:gridCol w:w="5103"/>
      </w:tblGrid>
      <w:tr w:rsidR="008A1E93" w:rsidRPr="008A1E93" w14:paraId="6B4199BB" w14:textId="77777777" w:rsidTr="00385866">
        <w:trPr>
          <w:cantSplit/>
          <w:tblHeader/>
          <w:jc w:val="center"/>
        </w:trPr>
        <w:tc>
          <w:tcPr>
            <w:tcW w:w="1786" w:type="pct"/>
            <w:tcBorders>
              <w:top w:val="double" w:sz="4" w:space="0" w:color="auto"/>
              <w:bottom w:val="single" w:sz="4" w:space="0" w:color="auto"/>
            </w:tcBorders>
            <w:noWrap/>
            <w:vAlign w:val="center"/>
            <w:hideMark/>
          </w:tcPr>
          <w:p w14:paraId="06AFC2AB" w14:textId="77777777" w:rsidR="008A1E93" w:rsidRPr="008A1E93" w:rsidRDefault="008A1E93" w:rsidP="008A1E93">
            <w:pPr>
              <w:spacing w:after="0" w:line="240" w:lineRule="auto"/>
              <w:jc w:val="center"/>
              <w:rPr>
                <w:rFonts w:ascii="Times New Roman" w:eastAsia="Times New Roman" w:hAnsi="Times New Roman"/>
                <w:b/>
                <w:bCs/>
                <w:sz w:val="18"/>
                <w:szCs w:val="18"/>
              </w:rPr>
            </w:pPr>
            <w:r>
              <w:rPr>
                <w:rFonts w:ascii="Times New Roman" w:hAnsi="Times New Roman"/>
                <w:b/>
                <w:sz w:val="18"/>
              </w:rPr>
              <w:t>Level 25</w:t>
            </w:r>
          </w:p>
        </w:tc>
        <w:tc>
          <w:tcPr>
            <w:tcW w:w="3214" w:type="pct"/>
            <w:tcBorders>
              <w:top w:val="double" w:sz="4" w:space="0" w:color="auto"/>
              <w:bottom w:val="single" w:sz="4" w:space="0" w:color="auto"/>
              <w:right w:val="nil"/>
            </w:tcBorders>
            <w:noWrap/>
            <w:vAlign w:val="center"/>
            <w:hideMark/>
          </w:tcPr>
          <w:p w14:paraId="1FCBDF48" w14:textId="77777777" w:rsidR="008A1E93" w:rsidRPr="008A1E93" w:rsidRDefault="008A1E93" w:rsidP="008A1E93">
            <w:pPr>
              <w:spacing w:after="0" w:line="240" w:lineRule="auto"/>
              <w:jc w:val="center"/>
              <w:rPr>
                <w:rFonts w:ascii="Times New Roman" w:eastAsia="Times New Roman" w:hAnsi="Times New Roman"/>
                <w:b/>
                <w:bCs/>
                <w:sz w:val="18"/>
                <w:szCs w:val="18"/>
              </w:rPr>
            </w:pPr>
            <w:r>
              <w:rPr>
                <w:rFonts w:ascii="Times New Roman" w:hAnsi="Times New Roman"/>
                <w:b/>
                <w:sz w:val="18"/>
              </w:rPr>
              <w:t>Level 68</w:t>
            </w:r>
          </w:p>
        </w:tc>
      </w:tr>
      <w:tr w:rsidR="008A1E93" w:rsidRPr="008A1E93" w14:paraId="09592291" w14:textId="77777777" w:rsidTr="00385866">
        <w:trPr>
          <w:jc w:val="center"/>
        </w:trPr>
        <w:tc>
          <w:tcPr>
            <w:tcW w:w="1786" w:type="pct"/>
            <w:vMerge w:val="restart"/>
            <w:tcBorders>
              <w:top w:val="single" w:sz="4" w:space="0" w:color="auto"/>
            </w:tcBorders>
            <w:noWrap/>
            <w:vAlign w:val="center"/>
            <w:hideMark/>
          </w:tcPr>
          <w:p w14:paraId="4EB38D33" w14:textId="77777777" w:rsidR="008A1E93" w:rsidRPr="008A1E93" w:rsidRDefault="008A1E93" w:rsidP="008A1E93">
            <w:pPr>
              <w:spacing w:after="0" w:line="240" w:lineRule="auto"/>
              <w:rPr>
                <w:rFonts w:ascii="Times New Roman" w:eastAsia="Times New Roman" w:hAnsi="Times New Roman"/>
                <w:sz w:val="18"/>
                <w:szCs w:val="18"/>
              </w:rPr>
            </w:pPr>
            <w:r>
              <w:rPr>
                <w:rFonts w:ascii="Times New Roman" w:hAnsi="Times New Roman"/>
                <w:sz w:val="18"/>
              </w:rPr>
              <w:t>Agriculture, livestock, forestry production, fishing and aquaculture</w:t>
            </w:r>
          </w:p>
        </w:tc>
        <w:tc>
          <w:tcPr>
            <w:tcW w:w="3214" w:type="pct"/>
            <w:tcBorders>
              <w:top w:val="single" w:sz="4" w:space="0" w:color="auto"/>
              <w:bottom w:val="single" w:sz="4" w:space="0" w:color="auto"/>
              <w:right w:val="nil"/>
            </w:tcBorders>
            <w:noWrap/>
            <w:vAlign w:val="center"/>
            <w:hideMark/>
          </w:tcPr>
          <w:p w14:paraId="593CB784" w14:textId="77777777" w:rsidR="008A1E93" w:rsidRPr="008A1E93" w:rsidRDefault="008A1E93" w:rsidP="008A1E93">
            <w:pPr>
              <w:spacing w:after="0" w:line="240" w:lineRule="auto"/>
              <w:rPr>
                <w:rFonts w:ascii="Times New Roman" w:eastAsia="Times New Roman" w:hAnsi="Times New Roman"/>
                <w:sz w:val="18"/>
                <w:szCs w:val="18"/>
              </w:rPr>
            </w:pPr>
            <w:r>
              <w:rPr>
                <w:rFonts w:ascii="Times New Roman" w:hAnsi="Times New Roman"/>
                <w:sz w:val="18"/>
              </w:rPr>
              <w:t xml:space="preserve">Agriculture, including support for agriculture </w:t>
            </w:r>
          </w:p>
        </w:tc>
      </w:tr>
      <w:tr w:rsidR="008A1E93" w:rsidRPr="008A1E93" w14:paraId="60AE832D" w14:textId="77777777" w:rsidTr="00385866">
        <w:trPr>
          <w:jc w:val="center"/>
        </w:trPr>
        <w:tc>
          <w:tcPr>
            <w:tcW w:w="1786" w:type="pct"/>
            <w:vMerge/>
            <w:vAlign w:val="center"/>
            <w:hideMark/>
          </w:tcPr>
          <w:p w14:paraId="3B8FBF76" w14:textId="77777777" w:rsidR="008A1E93" w:rsidRPr="00522DCF" w:rsidRDefault="008A1E93" w:rsidP="008A1E93">
            <w:pPr>
              <w:spacing w:after="0" w:line="240" w:lineRule="auto"/>
              <w:rPr>
                <w:rFonts w:ascii="Times New Roman" w:eastAsia="Times New Roman" w:hAnsi="Times New Roman"/>
                <w:sz w:val="18"/>
                <w:szCs w:val="18"/>
              </w:rPr>
            </w:pPr>
          </w:p>
        </w:tc>
        <w:tc>
          <w:tcPr>
            <w:tcW w:w="3214" w:type="pct"/>
            <w:tcBorders>
              <w:top w:val="single" w:sz="4" w:space="0" w:color="auto"/>
              <w:bottom w:val="single" w:sz="4" w:space="0" w:color="auto"/>
              <w:right w:val="nil"/>
            </w:tcBorders>
            <w:noWrap/>
            <w:vAlign w:val="center"/>
            <w:hideMark/>
          </w:tcPr>
          <w:p w14:paraId="14B0E0D8" w14:textId="77777777" w:rsidR="008A1E93" w:rsidRPr="008A1E93" w:rsidRDefault="008A1E93" w:rsidP="008A1E93">
            <w:pPr>
              <w:spacing w:after="0" w:line="240" w:lineRule="auto"/>
              <w:rPr>
                <w:rFonts w:ascii="Times New Roman" w:eastAsia="Times New Roman" w:hAnsi="Times New Roman"/>
                <w:sz w:val="18"/>
                <w:szCs w:val="18"/>
              </w:rPr>
            </w:pPr>
            <w:r>
              <w:rPr>
                <w:rFonts w:ascii="Times New Roman" w:hAnsi="Times New Roman"/>
                <w:sz w:val="18"/>
              </w:rPr>
              <w:t>Agriculture, including support for agriculture</w:t>
            </w:r>
          </w:p>
        </w:tc>
      </w:tr>
      <w:tr w:rsidR="008A1E93" w:rsidRPr="008A1E93" w14:paraId="3BA093F7" w14:textId="77777777" w:rsidTr="00385866">
        <w:trPr>
          <w:jc w:val="center"/>
        </w:trPr>
        <w:tc>
          <w:tcPr>
            <w:tcW w:w="1786" w:type="pct"/>
            <w:vMerge/>
            <w:vAlign w:val="center"/>
            <w:hideMark/>
          </w:tcPr>
          <w:p w14:paraId="21EB44D8" w14:textId="77777777" w:rsidR="008A1E93" w:rsidRPr="00522DCF" w:rsidRDefault="008A1E93" w:rsidP="008A1E93">
            <w:pPr>
              <w:spacing w:after="0" w:line="240" w:lineRule="auto"/>
              <w:rPr>
                <w:rFonts w:ascii="Times New Roman" w:eastAsia="Times New Roman" w:hAnsi="Times New Roman"/>
                <w:sz w:val="18"/>
                <w:szCs w:val="18"/>
              </w:rPr>
            </w:pPr>
          </w:p>
        </w:tc>
        <w:tc>
          <w:tcPr>
            <w:tcW w:w="3214" w:type="pct"/>
            <w:tcBorders>
              <w:top w:val="single" w:sz="4" w:space="0" w:color="auto"/>
              <w:bottom w:val="single" w:sz="4" w:space="0" w:color="auto"/>
              <w:right w:val="nil"/>
            </w:tcBorders>
            <w:noWrap/>
            <w:vAlign w:val="center"/>
            <w:hideMark/>
          </w:tcPr>
          <w:p w14:paraId="59BCD0BC" w14:textId="77777777" w:rsidR="008A1E93" w:rsidRPr="008A1E93" w:rsidRDefault="008A1E93" w:rsidP="008A1E93">
            <w:pPr>
              <w:spacing w:after="0" w:line="240" w:lineRule="auto"/>
              <w:rPr>
                <w:rFonts w:ascii="Times New Roman" w:eastAsia="Times New Roman" w:hAnsi="Times New Roman"/>
                <w:sz w:val="18"/>
                <w:szCs w:val="18"/>
              </w:rPr>
            </w:pPr>
            <w:r>
              <w:rPr>
                <w:rFonts w:ascii="Times New Roman" w:hAnsi="Times New Roman"/>
                <w:sz w:val="18"/>
              </w:rPr>
              <w:t>Forest production, fishing and aquaculture</w:t>
            </w:r>
          </w:p>
        </w:tc>
      </w:tr>
      <w:tr w:rsidR="008A1E93" w:rsidRPr="008A1E93" w14:paraId="78CF6C66" w14:textId="77777777" w:rsidTr="00385866">
        <w:trPr>
          <w:jc w:val="center"/>
        </w:trPr>
        <w:tc>
          <w:tcPr>
            <w:tcW w:w="1786" w:type="pct"/>
            <w:vMerge w:val="restart"/>
            <w:noWrap/>
            <w:vAlign w:val="center"/>
            <w:hideMark/>
          </w:tcPr>
          <w:p w14:paraId="1A593224" w14:textId="77777777" w:rsidR="008A1E93" w:rsidRPr="008A1E93" w:rsidRDefault="008A1E93" w:rsidP="008A1E93">
            <w:pPr>
              <w:spacing w:after="0" w:line="240" w:lineRule="auto"/>
              <w:rPr>
                <w:rFonts w:ascii="Times New Roman" w:eastAsia="Times New Roman" w:hAnsi="Times New Roman"/>
                <w:sz w:val="18"/>
                <w:szCs w:val="18"/>
              </w:rPr>
            </w:pPr>
            <w:r>
              <w:rPr>
                <w:rFonts w:ascii="Times New Roman" w:hAnsi="Times New Roman"/>
                <w:sz w:val="18"/>
              </w:rPr>
              <w:t>Extractive industries</w:t>
            </w:r>
          </w:p>
        </w:tc>
        <w:tc>
          <w:tcPr>
            <w:tcW w:w="3214" w:type="pct"/>
            <w:tcBorders>
              <w:top w:val="single" w:sz="4" w:space="0" w:color="auto"/>
              <w:bottom w:val="single" w:sz="4" w:space="0" w:color="auto"/>
              <w:right w:val="nil"/>
            </w:tcBorders>
            <w:noWrap/>
            <w:vAlign w:val="center"/>
            <w:hideMark/>
          </w:tcPr>
          <w:p w14:paraId="6AE54686" w14:textId="77777777" w:rsidR="008A1E93" w:rsidRPr="008A1E93" w:rsidRDefault="008A1E93" w:rsidP="008A1E93">
            <w:pPr>
              <w:spacing w:after="0" w:line="240" w:lineRule="auto"/>
              <w:rPr>
                <w:rFonts w:ascii="Times New Roman" w:eastAsia="Times New Roman" w:hAnsi="Times New Roman"/>
                <w:sz w:val="18"/>
                <w:szCs w:val="18"/>
              </w:rPr>
            </w:pPr>
            <w:r>
              <w:rPr>
                <w:rFonts w:ascii="Times New Roman" w:hAnsi="Times New Roman"/>
                <w:sz w:val="18"/>
              </w:rPr>
              <w:t>Extraction of mineral coal and non-metallic minerals</w:t>
            </w:r>
          </w:p>
        </w:tc>
      </w:tr>
      <w:tr w:rsidR="008A1E93" w:rsidRPr="008A1E93" w14:paraId="599CA6F2" w14:textId="77777777" w:rsidTr="00385866">
        <w:trPr>
          <w:jc w:val="center"/>
        </w:trPr>
        <w:tc>
          <w:tcPr>
            <w:tcW w:w="1786" w:type="pct"/>
            <w:vMerge/>
            <w:vAlign w:val="center"/>
            <w:hideMark/>
          </w:tcPr>
          <w:p w14:paraId="487E90A5" w14:textId="77777777" w:rsidR="008A1E93" w:rsidRPr="00522DCF" w:rsidRDefault="008A1E93" w:rsidP="008A1E93">
            <w:pPr>
              <w:spacing w:after="0" w:line="240" w:lineRule="auto"/>
              <w:rPr>
                <w:rFonts w:ascii="Times New Roman" w:eastAsia="Times New Roman" w:hAnsi="Times New Roman"/>
                <w:sz w:val="18"/>
                <w:szCs w:val="18"/>
              </w:rPr>
            </w:pPr>
          </w:p>
        </w:tc>
        <w:tc>
          <w:tcPr>
            <w:tcW w:w="3214" w:type="pct"/>
            <w:tcBorders>
              <w:top w:val="single" w:sz="4" w:space="0" w:color="auto"/>
              <w:bottom w:val="single" w:sz="4" w:space="0" w:color="auto"/>
              <w:right w:val="nil"/>
            </w:tcBorders>
            <w:noWrap/>
            <w:vAlign w:val="center"/>
            <w:hideMark/>
          </w:tcPr>
          <w:p w14:paraId="3A7FF311" w14:textId="77777777" w:rsidR="008A1E93" w:rsidRPr="008A1E93" w:rsidRDefault="008A1E93" w:rsidP="008A1E93">
            <w:pPr>
              <w:spacing w:after="0" w:line="240" w:lineRule="auto"/>
              <w:rPr>
                <w:rFonts w:ascii="Times New Roman" w:eastAsia="Times New Roman" w:hAnsi="Times New Roman"/>
                <w:sz w:val="18"/>
                <w:szCs w:val="18"/>
              </w:rPr>
            </w:pPr>
            <w:r>
              <w:rPr>
                <w:rFonts w:ascii="Times New Roman" w:hAnsi="Times New Roman"/>
                <w:sz w:val="18"/>
              </w:rPr>
              <w:t>Oil and gas extraction and supporting activities</w:t>
            </w:r>
          </w:p>
        </w:tc>
      </w:tr>
      <w:tr w:rsidR="008A1E93" w:rsidRPr="008A1E93" w14:paraId="3C8E5C41" w14:textId="77777777" w:rsidTr="00385866">
        <w:trPr>
          <w:jc w:val="center"/>
        </w:trPr>
        <w:tc>
          <w:tcPr>
            <w:tcW w:w="1786" w:type="pct"/>
            <w:vMerge/>
            <w:vAlign w:val="center"/>
            <w:hideMark/>
          </w:tcPr>
          <w:p w14:paraId="69BD6E99" w14:textId="77777777" w:rsidR="008A1E93" w:rsidRPr="00522DCF" w:rsidRDefault="008A1E93" w:rsidP="008A1E93">
            <w:pPr>
              <w:spacing w:after="0" w:line="240" w:lineRule="auto"/>
              <w:rPr>
                <w:rFonts w:ascii="Times New Roman" w:eastAsia="Times New Roman" w:hAnsi="Times New Roman"/>
                <w:sz w:val="18"/>
                <w:szCs w:val="18"/>
              </w:rPr>
            </w:pPr>
          </w:p>
        </w:tc>
        <w:tc>
          <w:tcPr>
            <w:tcW w:w="3214" w:type="pct"/>
            <w:tcBorders>
              <w:top w:val="single" w:sz="4" w:space="0" w:color="auto"/>
              <w:bottom w:val="single" w:sz="4" w:space="0" w:color="auto"/>
              <w:right w:val="nil"/>
            </w:tcBorders>
            <w:noWrap/>
            <w:vAlign w:val="center"/>
            <w:hideMark/>
          </w:tcPr>
          <w:p w14:paraId="2348D7DF" w14:textId="77777777" w:rsidR="008A1E93" w:rsidRPr="008A1E93" w:rsidRDefault="008A1E93" w:rsidP="008A1E93">
            <w:pPr>
              <w:spacing w:after="0" w:line="240" w:lineRule="auto"/>
              <w:rPr>
                <w:rFonts w:ascii="Times New Roman" w:eastAsia="Times New Roman" w:hAnsi="Times New Roman"/>
                <w:sz w:val="18"/>
                <w:szCs w:val="18"/>
              </w:rPr>
            </w:pPr>
            <w:r>
              <w:rPr>
                <w:rFonts w:ascii="Times New Roman" w:hAnsi="Times New Roman"/>
                <w:sz w:val="18"/>
              </w:rPr>
              <w:t>Extraction of iron ore, including processing and agglomeration</w:t>
            </w:r>
          </w:p>
        </w:tc>
      </w:tr>
      <w:tr w:rsidR="008A1E93" w:rsidRPr="008A1E93" w14:paraId="5A366120" w14:textId="77777777" w:rsidTr="00385866">
        <w:trPr>
          <w:jc w:val="center"/>
        </w:trPr>
        <w:tc>
          <w:tcPr>
            <w:tcW w:w="1786" w:type="pct"/>
            <w:vMerge/>
            <w:vAlign w:val="center"/>
            <w:hideMark/>
          </w:tcPr>
          <w:p w14:paraId="3C760613" w14:textId="77777777" w:rsidR="008A1E93" w:rsidRPr="00522DCF" w:rsidRDefault="008A1E93" w:rsidP="008A1E93">
            <w:pPr>
              <w:spacing w:after="0" w:line="240" w:lineRule="auto"/>
              <w:rPr>
                <w:rFonts w:ascii="Times New Roman" w:eastAsia="Times New Roman" w:hAnsi="Times New Roman"/>
                <w:sz w:val="18"/>
                <w:szCs w:val="18"/>
              </w:rPr>
            </w:pPr>
          </w:p>
        </w:tc>
        <w:tc>
          <w:tcPr>
            <w:tcW w:w="3214" w:type="pct"/>
            <w:tcBorders>
              <w:top w:val="single" w:sz="4" w:space="0" w:color="auto"/>
              <w:bottom w:val="single" w:sz="4" w:space="0" w:color="auto"/>
              <w:right w:val="nil"/>
            </w:tcBorders>
            <w:noWrap/>
            <w:vAlign w:val="center"/>
            <w:hideMark/>
          </w:tcPr>
          <w:p w14:paraId="16D3E64A" w14:textId="77777777" w:rsidR="008A1E93" w:rsidRPr="008A1E93" w:rsidRDefault="008A1E93" w:rsidP="008A1E93">
            <w:pPr>
              <w:spacing w:after="0" w:line="240" w:lineRule="auto"/>
              <w:rPr>
                <w:rFonts w:ascii="Times New Roman" w:eastAsia="Times New Roman" w:hAnsi="Times New Roman"/>
                <w:sz w:val="18"/>
                <w:szCs w:val="18"/>
              </w:rPr>
            </w:pPr>
            <w:r>
              <w:rPr>
                <w:rFonts w:ascii="Times New Roman" w:hAnsi="Times New Roman"/>
                <w:sz w:val="18"/>
              </w:rPr>
              <w:t>Extraction of non-ferrous metallic minerals</w:t>
            </w:r>
          </w:p>
        </w:tc>
      </w:tr>
      <w:tr w:rsidR="008A1E93" w:rsidRPr="008A1E93" w14:paraId="33F97D46" w14:textId="77777777" w:rsidTr="00385866">
        <w:trPr>
          <w:jc w:val="center"/>
        </w:trPr>
        <w:tc>
          <w:tcPr>
            <w:tcW w:w="1786" w:type="pct"/>
            <w:vMerge w:val="restart"/>
            <w:noWrap/>
            <w:vAlign w:val="center"/>
            <w:hideMark/>
          </w:tcPr>
          <w:p w14:paraId="7338E3F6" w14:textId="77777777" w:rsidR="008A1E93" w:rsidRPr="008A1E93" w:rsidRDefault="008A1E93" w:rsidP="008A1E93">
            <w:pPr>
              <w:spacing w:after="0" w:line="240" w:lineRule="auto"/>
              <w:rPr>
                <w:rFonts w:ascii="Times New Roman" w:eastAsia="Times New Roman" w:hAnsi="Times New Roman"/>
                <w:sz w:val="18"/>
                <w:szCs w:val="18"/>
              </w:rPr>
            </w:pPr>
            <w:r>
              <w:rPr>
                <w:rFonts w:ascii="Times New Roman" w:hAnsi="Times New Roman"/>
                <w:sz w:val="18"/>
              </w:rPr>
              <w:t>Food and beverage manufacturing</w:t>
            </w:r>
          </w:p>
        </w:tc>
        <w:tc>
          <w:tcPr>
            <w:tcW w:w="3214" w:type="pct"/>
            <w:tcBorders>
              <w:top w:val="single" w:sz="4" w:space="0" w:color="auto"/>
              <w:bottom w:val="single" w:sz="4" w:space="0" w:color="auto"/>
              <w:right w:val="nil"/>
            </w:tcBorders>
            <w:noWrap/>
            <w:vAlign w:val="center"/>
            <w:hideMark/>
          </w:tcPr>
          <w:p w14:paraId="688E3E50" w14:textId="77777777" w:rsidR="008A1E93" w:rsidRPr="008A1E93" w:rsidRDefault="008A1E93" w:rsidP="008A1E93">
            <w:pPr>
              <w:spacing w:after="0" w:line="240" w:lineRule="auto"/>
              <w:rPr>
                <w:rFonts w:ascii="Times New Roman" w:eastAsia="Times New Roman" w:hAnsi="Times New Roman"/>
                <w:sz w:val="18"/>
                <w:szCs w:val="18"/>
              </w:rPr>
            </w:pPr>
            <w:r>
              <w:rPr>
                <w:rFonts w:ascii="Times New Roman" w:hAnsi="Times New Roman"/>
                <w:sz w:val="18"/>
              </w:rPr>
              <w:t>Slaughter and meat, dairy and fish products</w:t>
            </w:r>
          </w:p>
        </w:tc>
      </w:tr>
      <w:tr w:rsidR="008A1E93" w:rsidRPr="008A1E93" w14:paraId="21CCDBB6" w14:textId="77777777" w:rsidTr="00385866">
        <w:trPr>
          <w:jc w:val="center"/>
        </w:trPr>
        <w:tc>
          <w:tcPr>
            <w:tcW w:w="1786" w:type="pct"/>
            <w:vMerge/>
            <w:vAlign w:val="center"/>
            <w:hideMark/>
          </w:tcPr>
          <w:p w14:paraId="0547A3BA" w14:textId="77777777" w:rsidR="008A1E93" w:rsidRPr="00522DCF" w:rsidRDefault="008A1E93" w:rsidP="008A1E93">
            <w:pPr>
              <w:spacing w:after="0" w:line="240" w:lineRule="auto"/>
              <w:rPr>
                <w:rFonts w:ascii="Times New Roman" w:eastAsia="Times New Roman" w:hAnsi="Times New Roman"/>
                <w:sz w:val="18"/>
                <w:szCs w:val="18"/>
              </w:rPr>
            </w:pPr>
          </w:p>
        </w:tc>
        <w:tc>
          <w:tcPr>
            <w:tcW w:w="3214" w:type="pct"/>
            <w:tcBorders>
              <w:top w:val="single" w:sz="4" w:space="0" w:color="auto"/>
              <w:bottom w:val="single" w:sz="4" w:space="0" w:color="auto"/>
              <w:right w:val="nil"/>
            </w:tcBorders>
            <w:noWrap/>
            <w:vAlign w:val="center"/>
            <w:hideMark/>
          </w:tcPr>
          <w:p w14:paraId="2860BA03" w14:textId="77777777" w:rsidR="008A1E93" w:rsidRPr="008A1E93" w:rsidRDefault="008A1E93" w:rsidP="008A1E93">
            <w:pPr>
              <w:spacing w:after="0" w:line="240" w:lineRule="auto"/>
              <w:rPr>
                <w:rFonts w:ascii="Times New Roman" w:eastAsia="Times New Roman" w:hAnsi="Times New Roman"/>
                <w:sz w:val="18"/>
                <w:szCs w:val="18"/>
              </w:rPr>
            </w:pPr>
            <w:r>
              <w:rPr>
                <w:rFonts w:ascii="Times New Roman" w:hAnsi="Times New Roman"/>
                <w:sz w:val="18"/>
              </w:rPr>
              <w:t>Sugar manufacturing and refining</w:t>
            </w:r>
          </w:p>
        </w:tc>
      </w:tr>
      <w:tr w:rsidR="008A1E93" w:rsidRPr="008A1E93" w14:paraId="65B00D87" w14:textId="77777777" w:rsidTr="00385866">
        <w:trPr>
          <w:jc w:val="center"/>
        </w:trPr>
        <w:tc>
          <w:tcPr>
            <w:tcW w:w="1786" w:type="pct"/>
            <w:vMerge/>
            <w:vAlign w:val="center"/>
            <w:hideMark/>
          </w:tcPr>
          <w:p w14:paraId="4B1587B2" w14:textId="77777777" w:rsidR="008A1E93" w:rsidRPr="008A1E93" w:rsidRDefault="008A1E93" w:rsidP="008A1E93">
            <w:pPr>
              <w:spacing w:after="0" w:line="240" w:lineRule="auto"/>
              <w:rPr>
                <w:rFonts w:ascii="Times New Roman" w:eastAsia="Times New Roman" w:hAnsi="Times New Roman"/>
                <w:sz w:val="18"/>
                <w:szCs w:val="18"/>
                <w:lang w:val="pt-BR"/>
              </w:rPr>
            </w:pPr>
          </w:p>
        </w:tc>
        <w:tc>
          <w:tcPr>
            <w:tcW w:w="3214" w:type="pct"/>
            <w:tcBorders>
              <w:top w:val="single" w:sz="4" w:space="0" w:color="auto"/>
              <w:bottom w:val="single" w:sz="4" w:space="0" w:color="auto"/>
              <w:right w:val="nil"/>
            </w:tcBorders>
            <w:noWrap/>
            <w:vAlign w:val="center"/>
            <w:hideMark/>
          </w:tcPr>
          <w:p w14:paraId="14038272" w14:textId="77777777" w:rsidR="008A1E93" w:rsidRPr="008A1E93" w:rsidRDefault="008A1E93" w:rsidP="008A1E93">
            <w:pPr>
              <w:spacing w:after="0" w:line="240" w:lineRule="auto"/>
              <w:rPr>
                <w:rFonts w:ascii="Times New Roman" w:eastAsia="Times New Roman" w:hAnsi="Times New Roman"/>
                <w:sz w:val="18"/>
                <w:szCs w:val="18"/>
              </w:rPr>
            </w:pPr>
            <w:r>
              <w:rPr>
                <w:rFonts w:ascii="Times New Roman" w:hAnsi="Times New Roman"/>
                <w:sz w:val="18"/>
              </w:rPr>
              <w:t>Other food products</w:t>
            </w:r>
          </w:p>
        </w:tc>
      </w:tr>
      <w:tr w:rsidR="008A1E93" w:rsidRPr="008A1E93" w14:paraId="3B1FE6D9" w14:textId="77777777" w:rsidTr="00385866">
        <w:trPr>
          <w:jc w:val="center"/>
        </w:trPr>
        <w:tc>
          <w:tcPr>
            <w:tcW w:w="1786" w:type="pct"/>
            <w:vMerge/>
            <w:vAlign w:val="center"/>
            <w:hideMark/>
          </w:tcPr>
          <w:p w14:paraId="2E03E423" w14:textId="77777777" w:rsidR="008A1E93" w:rsidRPr="008A1E93" w:rsidRDefault="008A1E93" w:rsidP="008A1E93">
            <w:pPr>
              <w:spacing w:after="0" w:line="240" w:lineRule="auto"/>
              <w:rPr>
                <w:rFonts w:ascii="Times New Roman" w:eastAsia="Times New Roman" w:hAnsi="Times New Roman"/>
                <w:sz w:val="18"/>
                <w:szCs w:val="18"/>
                <w:lang w:val="pt-BR"/>
              </w:rPr>
            </w:pPr>
          </w:p>
        </w:tc>
        <w:tc>
          <w:tcPr>
            <w:tcW w:w="3214" w:type="pct"/>
            <w:tcBorders>
              <w:top w:val="single" w:sz="4" w:space="0" w:color="auto"/>
              <w:bottom w:val="single" w:sz="4" w:space="0" w:color="auto"/>
              <w:right w:val="nil"/>
            </w:tcBorders>
            <w:noWrap/>
            <w:vAlign w:val="center"/>
            <w:hideMark/>
          </w:tcPr>
          <w:p w14:paraId="6653E25D" w14:textId="77777777" w:rsidR="008A1E93" w:rsidRPr="008A1E93" w:rsidRDefault="008A1E93" w:rsidP="008A1E93">
            <w:pPr>
              <w:spacing w:after="0" w:line="240" w:lineRule="auto"/>
              <w:rPr>
                <w:rFonts w:ascii="Times New Roman" w:eastAsia="Times New Roman" w:hAnsi="Times New Roman"/>
                <w:sz w:val="18"/>
                <w:szCs w:val="18"/>
              </w:rPr>
            </w:pPr>
            <w:r>
              <w:rPr>
                <w:rFonts w:ascii="Times New Roman" w:hAnsi="Times New Roman"/>
                <w:sz w:val="18"/>
              </w:rPr>
              <w:t>Beverage manufacturing</w:t>
            </w:r>
          </w:p>
        </w:tc>
      </w:tr>
      <w:tr w:rsidR="008A1E93" w:rsidRPr="008A1E93" w14:paraId="12532672" w14:textId="77777777" w:rsidTr="00385866">
        <w:trPr>
          <w:jc w:val="center"/>
        </w:trPr>
        <w:tc>
          <w:tcPr>
            <w:tcW w:w="1786" w:type="pct"/>
            <w:vMerge w:val="restart"/>
            <w:noWrap/>
            <w:vAlign w:val="center"/>
            <w:hideMark/>
          </w:tcPr>
          <w:p w14:paraId="51E7DD3C" w14:textId="77777777" w:rsidR="008A1E93" w:rsidRPr="008A1E93" w:rsidRDefault="008A1E93" w:rsidP="008A1E93">
            <w:pPr>
              <w:spacing w:after="0" w:line="240" w:lineRule="auto"/>
              <w:rPr>
                <w:rFonts w:ascii="Times New Roman" w:eastAsia="Times New Roman" w:hAnsi="Times New Roman"/>
                <w:sz w:val="18"/>
                <w:szCs w:val="18"/>
              </w:rPr>
            </w:pPr>
            <w:r>
              <w:rPr>
                <w:rFonts w:ascii="Times New Roman" w:hAnsi="Times New Roman"/>
                <w:sz w:val="18"/>
              </w:rPr>
              <w:t>Textiles, clothing and accessories</w:t>
            </w:r>
          </w:p>
        </w:tc>
        <w:tc>
          <w:tcPr>
            <w:tcW w:w="3214" w:type="pct"/>
            <w:tcBorders>
              <w:top w:val="single" w:sz="4" w:space="0" w:color="auto"/>
              <w:bottom w:val="single" w:sz="4" w:space="0" w:color="auto"/>
              <w:right w:val="nil"/>
            </w:tcBorders>
            <w:noWrap/>
            <w:vAlign w:val="center"/>
            <w:hideMark/>
          </w:tcPr>
          <w:p w14:paraId="471F2ECC" w14:textId="77777777" w:rsidR="008A1E93" w:rsidRPr="008A1E93" w:rsidRDefault="008A1E93" w:rsidP="008A1E93">
            <w:pPr>
              <w:spacing w:after="0" w:line="240" w:lineRule="auto"/>
              <w:rPr>
                <w:rFonts w:ascii="Times New Roman" w:eastAsia="Times New Roman" w:hAnsi="Times New Roman"/>
                <w:sz w:val="18"/>
                <w:szCs w:val="18"/>
              </w:rPr>
            </w:pPr>
            <w:r>
              <w:rPr>
                <w:rFonts w:ascii="Times New Roman" w:hAnsi="Times New Roman"/>
                <w:sz w:val="18"/>
              </w:rPr>
              <w:t>Manufacturing of textile products</w:t>
            </w:r>
          </w:p>
        </w:tc>
      </w:tr>
      <w:tr w:rsidR="008A1E93" w:rsidRPr="008A1E93" w14:paraId="497E8983" w14:textId="77777777" w:rsidTr="00385866">
        <w:trPr>
          <w:jc w:val="center"/>
        </w:trPr>
        <w:tc>
          <w:tcPr>
            <w:tcW w:w="1786" w:type="pct"/>
            <w:vMerge/>
            <w:vAlign w:val="center"/>
            <w:hideMark/>
          </w:tcPr>
          <w:p w14:paraId="1AF6B131" w14:textId="77777777" w:rsidR="008A1E93" w:rsidRPr="008A1E93" w:rsidRDefault="008A1E93" w:rsidP="008A1E93">
            <w:pPr>
              <w:spacing w:after="0" w:line="240" w:lineRule="auto"/>
              <w:rPr>
                <w:rFonts w:ascii="Times New Roman" w:eastAsia="Times New Roman" w:hAnsi="Times New Roman"/>
                <w:sz w:val="18"/>
                <w:szCs w:val="18"/>
                <w:lang w:val="pt-BR"/>
              </w:rPr>
            </w:pPr>
          </w:p>
        </w:tc>
        <w:tc>
          <w:tcPr>
            <w:tcW w:w="3214" w:type="pct"/>
            <w:tcBorders>
              <w:top w:val="single" w:sz="4" w:space="0" w:color="auto"/>
              <w:bottom w:val="single" w:sz="4" w:space="0" w:color="auto"/>
              <w:right w:val="nil"/>
            </w:tcBorders>
            <w:noWrap/>
            <w:vAlign w:val="center"/>
            <w:hideMark/>
          </w:tcPr>
          <w:p w14:paraId="04F86D1C" w14:textId="77777777" w:rsidR="008A1E93" w:rsidRPr="008A1E93" w:rsidRDefault="008A1E93" w:rsidP="008A1E93">
            <w:pPr>
              <w:spacing w:after="0" w:line="240" w:lineRule="auto"/>
              <w:rPr>
                <w:rFonts w:ascii="Times New Roman" w:eastAsia="Times New Roman" w:hAnsi="Times New Roman"/>
                <w:sz w:val="18"/>
                <w:szCs w:val="18"/>
              </w:rPr>
            </w:pPr>
            <w:r>
              <w:rPr>
                <w:rFonts w:ascii="Times New Roman" w:hAnsi="Times New Roman"/>
                <w:sz w:val="18"/>
              </w:rPr>
              <w:t>Production of clothing items and accessories</w:t>
            </w:r>
          </w:p>
        </w:tc>
      </w:tr>
      <w:tr w:rsidR="008A1E93" w:rsidRPr="008A1E93" w14:paraId="21A2D23F" w14:textId="77777777" w:rsidTr="00385866">
        <w:trPr>
          <w:jc w:val="center"/>
        </w:trPr>
        <w:tc>
          <w:tcPr>
            <w:tcW w:w="1786" w:type="pct"/>
            <w:vMerge/>
            <w:vAlign w:val="center"/>
            <w:hideMark/>
          </w:tcPr>
          <w:p w14:paraId="166E453A" w14:textId="77777777" w:rsidR="008A1E93" w:rsidRPr="00522DCF" w:rsidRDefault="008A1E93" w:rsidP="008A1E93">
            <w:pPr>
              <w:spacing w:after="0" w:line="240" w:lineRule="auto"/>
              <w:rPr>
                <w:rFonts w:ascii="Times New Roman" w:eastAsia="Times New Roman" w:hAnsi="Times New Roman"/>
                <w:sz w:val="18"/>
                <w:szCs w:val="18"/>
              </w:rPr>
            </w:pPr>
          </w:p>
        </w:tc>
        <w:tc>
          <w:tcPr>
            <w:tcW w:w="3214" w:type="pct"/>
            <w:tcBorders>
              <w:top w:val="single" w:sz="4" w:space="0" w:color="auto"/>
              <w:bottom w:val="single" w:sz="4" w:space="0" w:color="auto"/>
              <w:right w:val="nil"/>
            </w:tcBorders>
            <w:noWrap/>
            <w:vAlign w:val="center"/>
            <w:hideMark/>
          </w:tcPr>
          <w:p w14:paraId="1F62855C" w14:textId="77777777" w:rsidR="008A1E93" w:rsidRPr="008A1E93" w:rsidRDefault="008A1E93" w:rsidP="008A1E93">
            <w:pPr>
              <w:spacing w:after="0" w:line="240" w:lineRule="auto"/>
              <w:rPr>
                <w:rFonts w:ascii="Times New Roman" w:eastAsia="Times New Roman" w:hAnsi="Times New Roman"/>
                <w:sz w:val="18"/>
                <w:szCs w:val="18"/>
              </w:rPr>
            </w:pPr>
            <w:r>
              <w:rPr>
                <w:rFonts w:ascii="Times New Roman" w:hAnsi="Times New Roman"/>
                <w:sz w:val="18"/>
              </w:rPr>
              <w:t>Manufacture of shoes and leather goods</w:t>
            </w:r>
          </w:p>
        </w:tc>
      </w:tr>
      <w:tr w:rsidR="008A1E93" w:rsidRPr="008A1E93" w14:paraId="6B131CED" w14:textId="77777777" w:rsidTr="00385866">
        <w:trPr>
          <w:jc w:val="center"/>
        </w:trPr>
        <w:tc>
          <w:tcPr>
            <w:tcW w:w="1786" w:type="pct"/>
            <w:vMerge w:val="restart"/>
            <w:noWrap/>
            <w:vAlign w:val="center"/>
            <w:hideMark/>
          </w:tcPr>
          <w:p w14:paraId="7E687AB9" w14:textId="77777777" w:rsidR="008A1E93" w:rsidRPr="008A1E93" w:rsidRDefault="008A1E93" w:rsidP="008A1E93">
            <w:pPr>
              <w:spacing w:after="0" w:line="240" w:lineRule="auto"/>
              <w:rPr>
                <w:rFonts w:ascii="Times New Roman" w:eastAsia="Times New Roman" w:hAnsi="Times New Roman"/>
                <w:sz w:val="18"/>
                <w:szCs w:val="18"/>
              </w:rPr>
            </w:pPr>
            <w:r>
              <w:rPr>
                <w:rFonts w:ascii="Times New Roman" w:hAnsi="Times New Roman"/>
                <w:sz w:val="18"/>
              </w:rPr>
              <w:t>Manufacture of wood, cellulose and paper products</w:t>
            </w:r>
          </w:p>
        </w:tc>
        <w:tc>
          <w:tcPr>
            <w:tcW w:w="3214" w:type="pct"/>
            <w:tcBorders>
              <w:top w:val="single" w:sz="4" w:space="0" w:color="auto"/>
              <w:bottom w:val="single" w:sz="4" w:space="0" w:color="auto"/>
              <w:right w:val="nil"/>
            </w:tcBorders>
            <w:noWrap/>
            <w:vAlign w:val="center"/>
            <w:hideMark/>
          </w:tcPr>
          <w:p w14:paraId="0939021F" w14:textId="77777777" w:rsidR="008A1E93" w:rsidRPr="008A1E93" w:rsidRDefault="008A1E93" w:rsidP="008A1E93">
            <w:pPr>
              <w:spacing w:after="0" w:line="240" w:lineRule="auto"/>
              <w:rPr>
                <w:rFonts w:ascii="Times New Roman" w:eastAsia="Times New Roman" w:hAnsi="Times New Roman"/>
                <w:sz w:val="18"/>
                <w:szCs w:val="18"/>
              </w:rPr>
            </w:pPr>
            <w:r>
              <w:rPr>
                <w:rFonts w:ascii="Times New Roman" w:hAnsi="Times New Roman"/>
                <w:sz w:val="18"/>
              </w:rPr>
              <w:t>Manufacturing of wood products</w:t>
            </w:r>
          </w:p>
        </w:tc>
      </w:tr>
      <w:tr w:rsidR="008A1E93" w:rsidRPr="008A1E93" w14:paraId="62879C9B" w14:textId="77777777" w:rsidTr="00385866">
        <w:trPr>
          <w:jc w:val="center"/>
        </w:trPr>
        <w:tc>
          <w:tcPr>
            <w:tcW w:w="1786" w:type="pct"/>
            <w:vMerge/>
            <w:vAlign w:val="center"/>
            <w:hideMark/>
          </w:tcPr>
          <w:p w14:paraId="57499CBE" w14:textId="77777777" w:rsidR="008A1E93" w:rsidRPr="008A1E93" w:rsidRDefault="008A1E93" w:rsidP="008A1E93">
            <w:pPr>
              <w:spacing w:after="0" w:line="240" w:lineRule="auto"/>
              <w:rPr>
                <w:rFonts w:ascii="Times New Roman" w:eastAsia="Times New Roman" w:hAnsi="Times New Roman"/>
                <w:sz w:val="18"/>
                <w:szCs w:val="18"/>
                <w:lang w:val="pt-BR"/>
              </w:rPr>
            </w:pPr>
          </w:p>
        </w:tc>
        <w:tc>
          <w:tcPr>
            <w:tcW w:w="3214" w:type="pct"/>
            <w:tcBorders>
              <w:top w:val="single" w:sz="4" w:space="0" w:color="auto"/>
              <w:bottom w:val="single" w:sz="4" w:space="0" w:color="auto"/>
              <w:right w:val="nil"/>
            </w:tcBorders>
            <w:noWrap/>
            <w:vAlign w:val="center"/>
            <w:hideMark/>
          </w:tcPr>
          <w:p w14:paraId="3E0F0D8D" w14:textId="77777777" w:rsidR="008A1E93" w:rsidRPr="008A1E93" w:rsidRDefault="008A1E93" w:rsidP="008A1E93">
            <w:pPr>
              <w:spacing w:after="0" w:line="240" w:lineRule="auto"/>
              <w:rPr>
                <w:rFonts w:ascii="Times New Roman" w:eastAsia="Times New Roman" w:hAnsi="Times New Roman"/>
                <w:sz w:val="18"/>
                <w:szCs w:val="18"/>
              </w:rPr>
            </w:pPr>
            <w:r>
              <w:rPr>
                <w:rFonts w:ascii="Times New Roman" w:hAnsi="Times New Roman"/>
                <w:sz w:val="18"/>
              </w:rPr>
              <w:t>Manufacture of pulp, paper and paper products</w:t>
            </w:r>
          </w:p>
        </w:tc>
      </w:tr>
      <w:tr w:rsidR="008A1E93" w:rsidRPr="008A1E93" w14:paraId="68623072" w14:textId="77777777" w:rsidTr="00385866">
        <w:trPr>
          <w:jc w:val="center"/>
        </w:trPr>
        <w:tc>
          <w:tcPr>
            <w:tcW w:w="1786" w:type="pct"/>
            <w:vMerge w:val="restart"/>
            <w:noWrap/>
            <w:vAlign w:val="center"/>
            <w:hideMark/>
          </w:tcPr>
          <w:p w14:paraId="078FE3F8" w14:textId="77777777" w:rsidR="008A1E93" w:rsidRPr="008A1E93" w:rsidRDefault="008A1E93" w:rsidP="008A1E93">
            <w:pPr>
              <w:spacing w:after="0" w:line="240" w:lineRule="auto"/>
              <w:rPr>
                <w:rFonts w:ascii="Times New Roman" w:eastAsia="Times New Roman" w:hAnsi="Times New Roman"/>
                <w:sz w:val="18"/>
                <w:szCs w:val="18"/>
              </w:rPr>
            </w:pPr>
            <w:r>
              <w:rPr>
                <w:rFonts w:ascii="Times New Roman" w:hAnsi="Times New Roman"/>
                <w:sz w:val="18"/>
              </w:rPr>
              <w:t>Oil refining, coking plant and biofuels</w:t>
            </w:r>
          </w:p>
        </w:tc>
        <w:tc>
          <w:tcPr>
            <w:tcW w:w="3214" w:type="pct"/>
            <w:tcBorders>
              <w:top w:val="single" w:sz="4" w:space="0" w:color="auto"/>
              <w:bottom w:val="single" w:sz="4" w:space="0" w:color="auto"/>
              <w:right w:val="nil"/>
            </w:tcBorders>
            <w:noWrap/>
            <w:vAlign w:val="center"/>
            <w:hideMark/>
          </w:tcPr>
          <w:p w14:paraId="362945A9" w14:textId="77777777" w:rsidR="008A1E93" w:rsidRPr="008A1E93" w:rsidRDefault="008A1E93" w:rsidP="008A1E93">
            <w:pPr>
              <w:spacing w:after="0" w:line="240" w:lineRule="auto"/>
              <w:rPr>
                <w:rFonts w:ascii="Times New Roman" w:eastAsia="Times New Roman" w:hAnsi="Times New Roman"/>
                <w:sz w:val="18"/>
                <w:szCs w:val="18"/>
              </w:rPr>
            </w:pPr>
            <w:r>
              <w:rPr>
                <w:rFonts w:ascii="Times New Roman" w:hAnsi="Times New Roman"/>
                <w:sz w:val="18"/>
              </w:rPr>
              <w:t>Oil refining and coking plant</w:t>
            </w:r>
          </w:p>
        </w:tc>
      </w:tr>
      <w:tr w:rsidR="008A1E93" w:rsidRPr="008A1E93" w14:paraId="5D51AD76" w14:textId="77777777" w:rsidTr="00385866">
        <w:trPr>
          <w:jc w:val="center"/>
        </w:trPr>
        <w:tc>
          <w:tcPr>
            <w:tcW w:w="1786" w:type="pct"/>
            <w:vMerge/>
            <w:vAlign w:val="center"/>
            <w:hideMark/>
          </w:tcPr>
          <w:p w14:paraId="19E96D44" w14:textId="77777777" w:rsidR="008A1E93" w:rsidRPr="00522DCF" w:rsidRDefault="008A1E93" w:rsidP="008A1E93">
            <w:pPr>
              <w:spacing w:after="0" w:line="240" w:lineRule="auto"/>
              <w:rPr>
                <w:rFonts w:ascii="Times New Roman" w:eastAsia="Times New Roman" w:hAnsi="Times New Roman"/>
                <w:sz w:val="18"/>
                <w:szCs w:val="18"/>
              </w:rPr>
            </w:pPr>
          </w:p>
        </w:tc>
        <w:tc>
          <w:tcPr>
            <w:tcW w:w="3214" w:type="pct"/>
            <w:tcBorders>
              <w:top w:val="single" w:sz="4" w:space="0" w:color="auto"/>
              <w:bottom w:val="single" w:sz="4" w:space="0" w:color="auto"/>
              <w:right w:val="nil"/>
            </w:tcBorders>
            <w:noWrap/>
            <w:vAlign w:val="center"/>
            <w:hideMark/>
          </w:tcPr>
          <w:p w14:paraId="2B119A1A" w14:textId="77777777" w:rsidR="008A1E93" w:rsidRPr="008A1E93" w:rsidRDefault="008A1E93" w:rsidP="008A1E93">
            <w:pPr>
              <w:spacing w:after="0" w:line="240" w:lineRule="auto"/>
              <w:rPr>
                <w:rFonts w:ascii="Times New Roman" w:eastAsia="Times New Roman" w:hAnsi="Times New Roman"/>
                <w:sz w:val="18"/>
                <w:szCs w:val="18"/>
              </w:rPr>
            </w:pPr>
            <w:r>
              <w:rPr>
                <w:rFonts w:ascii="Times New Roman" w:hAnsi="Times New Roman"/>
                <w:sz w:val="18"/>
              </w:rPr>
              <w:t>Biofuel manufacturing</w:t>
            </w:r>
          </w:p>
        </w:tc>
      </w:tr>
      <w:tr w:rsidR="008A1E93" w:rsidRPr="008A1E93" w14:paraId="5E3DBFAF" w14:textId="77777777" w:rsidTr="00385866">
        <w:trPr>
          <w:jc w:val="center"/>
        </w:trPr>
        <w:tc>
          <w:tcPr>
            <w:tcW w:w="1786" w:type="pct"/>
            <w:vMerge w:val="restart"/>
            <w:noWrap/>
            <w:vAlign w:val="center"/>
            <w:hideMark/>
          </w:tcPr>
          <w:p w14:paraId="217875CA" w14:textId="77777777" w:rsidR="008A1E93" w:rsidRPr="008A1E93" w:rsidRDefault="008A1E93" w:rsidP="008A1E93">
            <w:pPr>
              <w:spacing w:after="0" w:line="240" w:lineRule="auto"/>
              <w:rPr>
                <w:rFonts w:ascii="Times New Roman" w:eastAsia="Times New Roman" w:hAnsi="Times New Roman"/>
                <w:sz w:val="18"/>
                <w:szCs w:val="18"/>
              </w:rPr>
            </w:pPr>
            <w:r>
              <w:rPr>
                <w:rFonts w:ascii="Times New Roman" w:hAnsi="Times New Roman"/>
                <w:sz w:val="18"/>
              </w:rPr>
              <w:t>Chemicals, disinfectants, paints, cleaning products and pharmaceuticals</w:t>
            </w:r>
          </w:p>
        </w:tc>
        <w:tc>
          <w:tcPr>
            <w:tcW w:w="3214" w:type="pct"/>
            <w:tcBorders>
              <w:top w:val="single" w:sz="4" w:space="0" w:color="auto"/>
              <w:bottom w:val="single" w:sz="4" w:space="0" w:color="auto"/>
              <w:right w:val="nil"/>
            </w:tcBorders>
            <w:noWrap/>
            <w:vAlign w:val="center"/>
            <w:hideMark/>
          </w:tcPr>
          <w:p w14:paraId="254B8BC5" w14:textId="77777777" w:rsidR="008A1E93" w:rsidRPr="008A1E93" w:rsidRDefault="008A1E93" w:rsidP="008A1E93">
            <w:pPr>
              <w:spacing w:after="0" w:line="240" w:lineRule="auto"/>
              <w:rPr>
                <w:rFonts w:ascii="Times New Roman" w:eastAsia="Times New Roman" w:hAnsi="Times New Roman"/>
                <w:sz w:val="18"/>
                <w:szCs w:val="18"/>
              </w:rPr>
            </w:pPr>
            <w:r>
              <w:rPr>
                <w:rFonts w:ascii="Times New Roman" w:hAnsi="Times New Roman"/>
                <w:sz w:val="18"/>
              </w:rPr>
              <w:t>Manufacture of organic and inorganic chemicals, resins and elastomers</w:t>
            </w:r>
          </w:p>
        </w:tc>
      </w:tr>
      <w:tr w:rsidR="008A1E93" w:rsidRPr="008A1E93" w14:paraId="6AA3607F" w14:textId="77777777" w:rsidTr="00385866">
        <w:trPr>
          <w:jc w:val="center"/>
        </w:trPr>
        <w:tc>
          <w:tcPr>
            <w:tcW w:w="1786" w:type="pct"/>
            <w:vMerge/>
            <w:vAlign w:val="center"/>
            <w:hideMark/>
          </w:tcPr>
          <w:p w14:paraId="01EF827B" w14:textId="77777777" w:rsidR="008A1E93" w:rsidRPr="00522DCF" w:rsidRDefault="008A1E93" w:rsidP="008A1E93">
            <w:pPr>
              <w:spacing w:after="0" w:line="240" w:lineRule="auto"/>
              <w:rPr>
                <w:rFonts w:ascii="Times New Roman" w:eastAsia="Times New Roman" w:hAnsi="Times New Roman"/>
                <w:sz w:val="18"/>
                <w:szCs w:val="18"/>
              </w:rPr>
            </w:pPr>
          </w:p>
        </w:tc>
        <w:tc>
          <w:tcPr>
            <w:tcW w:w="3214" w:type="pct"/>
            <w:tcBorders>
              <w:top w:val="single" w:sz="4" w:space="0" w:color="auto"/>
              <w:bottom w:val="single" w:sz="4" w:space="0" w:color="auto"/>
              <w:right w:val="nil"/>
            </w:tcBorders>
            <w:noWrap/>
            <w:vAlign w:val="center"/>
            <w:hideMark/>
          </w:tcPr>
          <w:p w14:paraId="5C6D5D5B" w14:textId="77777777" w:rsidR="008A1E93" w:rsidRPr="008A1E93" w:rsidRDefault="008A1E93" w:rsidP="008A1E93">
            <w:pPr>
              <w:spacing w:after="0" w:line="240" w:lineRule="auto"/>
              <w:rPr>
                <w:rFonts w:ascii="Times New Roman" w:eastAsia="Times New Roman" w:hAnsi="Times New Roman"/>
                <w:sz w:val="18"/>
                <w:szCs w:val="18"/>
              </w:rPr>
            </w:pPr>
            <w:r>
              <w:rPr>
                <w:rFonts w:ascii="Times New Roman" w:hAnsi="Times New Roman"/>
                <w:sz w:val="18"/>
              </w:rPr>
              <w:t xml:space="preserve">Manufacture of pesticides, disinfectants, paints and chemicals </w:t>
            </w:r>
          </w:p>
        </w:tc>
      </w:tr>
      <w:tr w:rsidR="008A1E93" w:rsidRPr="008A1E93" w14:paraId="2FCF7D82" w14:textId="77777777" w:rsidTr="00385866">
        <w:trPr>
          <w:jc w:val="center"/>
        </w:trPr>
        <w:tc>
          <w:tcPr>
            <w:tcW w:w="1786" w:type="pct"/>
            <w:vMerge/>
            <w:vAlign w:val="center"/>
            <w:hideMark/>
          </w:tcPr>
          <w:p w14:paraId="18B9E352" w14:textId="77777777" w:rsidR="008A1E93" w:rsidRPr="00522DCF" w:rsidRDefault="008A1E93" w:rsidP="008A1E93">
            <w:pPr>
              <w:spacing w:after="0" w:line="240" w:lineRule="auto"/>
              <w:rPr>
                <w:rFonts w:ascii="Times New Roman" w:eastAsia="Times New Roman" w:hAnsi="Times New Roman"/>
                <w:sz w:val="18"/>
                <w:szCs w:val="18"/>
              </w:rPr>
            </w:pPr>
          </w:p>
        </w:tc>
        <w:tc>
          <w:tcPr>
            <w:tcW w:w="3214" w:type="pct"/>
            <w:tcBorders>
              <w:top w:val="single" w:sz="4" w:space="0" w:color="auto"/>
              <w:bottom w:val="single" w:sz="4" w:space="0" w:color="auto"/>
              <w:right w:val="nil"/>
            </w:tcBorders>
            <w:noWrap/>
            <w:vAlign w:val="center"/>
            <w:hideMark/>
          </w:tcPr>
          <w:p w14:paraId="2E528BF2" w14:textId="77777777" w:rsidR="008A1E93" w:rsidRPr="008A1E93" w:rsidRDefault="008A1E93" w:rsidP="008A1E93">
            <w:pPr>
              <w:spacing w:after="0" w:line="240" w:lineRule="auto"/>
              <w:rPr>
                <w:rFonts w:ascii="Times New Roman" w:eastAsia="Times New Roman" w:hAnsi="Times New Roman"/>
                <w:sz w:val="18"/>
                <w:szCs w:val="18"/>
              </w:rPr>
            </w:pPr>
            <w:r>
              <w:rPr>
                <w:rFonts w:ascii="Times New Roman" w:hAnsi="Times New Roman"/>
                <w:sz w:val="18"/>
              </w:rPr>
              <w:t>Manufacture of cleaning, cosmetics/perfumery and personal hygiene products</w:t>
            </w:r>
          </w:p>
        </w:tc>
      </w:tr>
      <w:tr w:rsidR="008A1E93" w:rsidRPr="008A1E93" w14:paraId="57766ED1" w14:textId="77777777" w:rsidTr="00385866">
        <w:trPr>
          <w:jc w:val="center"/>
        </w:trPr>
        <w:tc>
          <w:tcPr>
            <w:tcW w:w="1786" w:type="pct"/>
            <w:vMerge/>
            <w:vAlign w:val="center"/>
            <w:hideMark/>
          </w:tcPr>
          <w:p w14:paraId="460EBFB7" w14:textId="77777777" w:rsidR="008A1E93" w:rsidRPr="00522DCF" w:rsidRDefault="008A1E93" w:rsidP="008A1E93">
            <w:pPr>
              <w:spacing w:after="0" w:line="240" w:lineRule="auto"/>
              <w:rPr>
                <w:rFonts w:ascii="Times New Roman" w:eastAsia="Times New Roman" w:hAnsi="Times New Roman"/>
                <w:sz w:val="18"/>
                <w:szCs w:val="18"/>
              </w:rPr>
            </w:pPr>
          </w:p>
        </w:tc>
        <w:tc>
          <w:tcPr>
            <w:tcW w:w="3214" w:type="pct"/>
            <w:tcBorders>
              <w:top w:val="single" w:sz="4" w:space="0" w:color="auto"/>
              <w:bottom w:val="single" w:sz="4" w:space="0" w:color="auto"/>
              <w:right w:val="nil"/>
            </w:tcBorders>
            <w:noWrap/>
            <w:vAlign w:val="center"/>
            <w:hideMark/>
          </w:tcPr>
          <w:p w14:paraId="3EDDA101" w14:textId="77777777" w:rsidR="008A1E93" w:rsidRPr="008A1E93" w:rsidRDefault="008A1E93" w:rsidP="008A1E93">
            <w:pPr>
              <w:spacing w:after="0" w:line="240" w:lineRule="auto"/>
              <w:rPr>
                <w:rFonts w:ascii="Times New Roman" w:eastAsia="Times New Roman" w:hAnsi="Times New Roman"/>
                <w:sz w:val="18"/>
                <w:szCs w:val="18"/>
              </w:rPr>
            </w:pPr>
            <w:r>
              <w:rPr>
                <w:rFonts w:ascii="Times New Roman" w:hAnsi="Times New Roman"/>
                <w:sz w:val="18"/>
              </w:rPr>
              <w:t>Pharmochemical and pharmaceutical products</w:t>
            </w:r>
          </w:p>
        </w:tc>
      </w:tr>
      <w:tr w:rsidR="008A1E93" w:rsidRPr="008A1E93" w14:paraId="45EE26C2" w14:textId="77777777" w:rsidTr="00385866">
        <w:trPr>
          <w:jc w:val="center"/>
        </w:trPr>
        <w:tc>
          <w:tcPr>
            <w:tcW w:w="1786" w:type="pct"/>
            <w:vMerge/>
            <w:vAlign w:val="center"/>
            <w:hideMark/>
          </w:tcPr>
          <w:p w14:paraId="75861E64" w14:textId="77777777" w:rsidR="008A1E93" w:rsidRPr="008A1E93" w:rsidRDefault="008A1E93" w:rsidP="008A1E93">
            <w:pPr>
              <w:spacing w:after="0" w:line="240" w:lineRule="auto"/>
              <w:rPr>
                <w:rFonts w:ascii="Times New Roman" w:eastAsia="Times New Roman" w:hAnsi="Times New Roman"/>
                <w:sz w:val="18"/>
                <w:szCs w:val="18"/>
                <w:lang w:val="pt-BR"/>
              </w:rPr>
            </w:pPr>
          </w:p>
        </w:tc>
        <w:tc>
          <w:tcPr>
            <w:tcW w:w="3214" w:type="pct"/>
            <w:tcBorders>
              <w:top w:val="single" w:sz="4" w:space="0" w:color="auto"/>
              <w:bottom w:val="single" w:sz="4" w:space="0" w:color="auto"/>
              <w:right w:val="nil"/>
            </w:tcBorders>
            <w:noWrap/>
            <w:vAlign w:val="center"/>
            <w:hideMark/>
          </w:tcPr>
          <w:p w14:paraId="3548D3B2" w14:textId="77777777" w:rsidR="008A1E93" w:rsidRPr="008A1E93" w:rsidRDefault="008A1E93" w:rsidP="008A1E93">
            <w:pPr>
              <w:spacing w:after="0" w:line="240" w:lineRule="auto"/>
              <w:rPr>
                <w:rFonts w:ascii="Times New Roman" w:eastAsia="Times New Roman" w:hAnsi="Times New Roman"/>
                <w:sz w:val="18"/>
                <w:szCs w:val="18"/>
              </w:rPr>
            </w:pPr>
            <w:r>
              <w:rPr>
                <w:rFonts w:ascii="Times New Roman" w:hAnsi="Times New Roman"/>
                <w:sz w:val="18"/>
              </w:rPr>
              <w:t>Manufacturing of rubber and plastic products</w:t>
            </w:r>
          </w:p>
        </w:tc>
      </w:tr>
      <w:tr w:rsidR="008A1E93" w:rsidRPr="008A1E93" w14:paraId="2BDFB4DF" w14:textId="77777777" w:rsidTr="00385866">
        <w:trPr>
          <w:jc w:val="center"/>
        </w:trPr>
        <w:tc>
          <w:tcPr>
            <w:tcW w:w="1786" w:type="pct"/>
            <w:vMerge w:val="restart"/>
            <w:noWrap/>
            <w:vAlign w:val="center"/>
            <w:hideMark/>
          </w:tcPr>
          <w:p w14:paraId="5C51CB2C" w14:textId="77777777" w:rsidR="008A1E93" w:rsidRPr="008A1E93" w:rsidRDefault="008A1E93" w:rsidP="008A1E93">
            <w:pPr>
              <w:spacing w:after="0" w:line="240" w:lineRule="auto"/>
              <w:rPr>
                <w:rFonts w:ascii="Times New Roman" w:eastAsia="Times New Roman" w:hAnsi="Times New Roman"/>
                <w:sz w:val="18"/>
                <w:szCs w:val="18"/>
              </w:rPr>
            </w:pPr>
            <w:r>
              <w:rPr>
                <w:rFonts w:ascii="Times New Roman" w:hAnsi="Times New Roman"/>
                <w:sz w:val="18"/>
              </w:rPr>
              <w:t>Metallurgy and steelmaking</w:t>
            </w:r>
          </w:p>
        </w:tc>
        <w:tc>
          <w:tcPr>
            <w:tcW w:w="3214" w:type="pct"/>
            <w:tcBorders>
              <w:top w:val="single" w:sz="4" w:space="0" w:color="auto"/>
              <w:bottom w:val="single" w:sz="4" w:space="0" w:color="auto"/>
              <w:right w:val="nil"/>
            </w:tcBorders>
            <w:noWrap/>
            <w:vAlign w:val="center"/>
            <w:hideMark/>
          </w:tcPr>
          <w:p w14:paraId="48EC4A00" w14:textId="77777777" w:rsidR="008A1E93" w:rsidRPr="008A1E93" w:rsidRDefault="008A1E93" w:rsidP="008A1E93">
            <w:pPr>
              <w:spacing w:after="0" w:line="240" w:lineRule="auto"/>
              <w:rPr>
                <w:rFonts w:ascii="Times New Roman" w:eastAsia="Times New Roman" w:hAnsi="Times New Roman"/>
                <w:sz w:val="18"/>
                <w:szCs w:val="18"/>
              </w:rPr>
            </w:pPr>
            <w:r>
              <w:rPr>
                <w:rFonts w:ascii="Times New Roman" w:hAnsi="Times New Roman"/>
                <w:sz w:val="18"/>
              </w:rPr>
              <w:t>Manufacture of products from non-metallic minerals</w:t>
            </w:r>
          </w:p>
        </w:tc>
      </w:tr>
      <w:tr w:rsidR="008A1E93" w:rsidRPr="008A1E93" w14:paraId="2FC7BBF2" w14:textId="77777777" w:rsidTr="00385866">
        <w:trPr>
          <w:jc w:val="center"/>
        </w:trPr>
        <w:tc>
          <w:tcPr>
            <w:tcW w:w="1786" w:type="pct"/>
            <w:vMerge/>
            <w:vAlign w:val="center"/>
            <w:hideMark/>
          </w:tcPr>
          <w:p w14:paraId="402AA4CE" w14:textId="77777777" w:rsidR="008A1E93" w:rsidRPr="00522DCF" w:rsidRDefault="008A1E93" w:rsidP="008A1E93">
            <w:pPr>
              <w:spacing w:after="0" w:line="240" w:lineRule="auto"/>
              <w:rPr>
                <w:rFonts w:ascii="Times New Roman" w:eastAsia="Times New Roman" w:hAnsi="Times New Roman"/>
                <w:sz w:val="18"/>
                <w:szCs w:val="18"/>
              </w:rPr>
            </w:pPr>
          </w:p>
        </w:tc>
        <w:tc>
          <w:tcPr>
            <w:tcW w:w="3214" w:type="pct"/>
            <w:tcBorders>
              <w:top w:val="single" w:sz="4" w:space="0" w:color="auto"/>
              <w:bottom w:val="single" w:sz="4" w:space="0" w:color="auto"/>
              <w:right w:val="nil"/>
            </w:tcBorders>
            <w:noWrap/>
            <w:vAlign w:val="center"/>
            <w:hideMark/>
          </w:tcPr>
          <w:p w14:paraId="3F014BDA" w14:textId="77777777" w:rsidR="008A1E93" w:rsidRPr="008A1E93" w:rsidRDefault="008A1E93" w:rsidP="008A1E93">
            <w:pPr>
              <w:spacing w:after="0" w:line="240" w:lineRule="auto"/>
              <w:rPr>
                <w:rFonts w:ascii="Times New Roman" w:eastAsia="Times New Roman" w:hAnsi="Times New Roman"/>
                <w:sz w:val="18"/>
                <w:szCs w:val="18"/>
              </w:rPr>
            </w:pPr>
            <w:r>
              <w:rPr>
                <w:rFonts w:ascii="Times New Roman" w:hAnsi="Times New Roman"/>
                <w:sz w:val="18"/>
              </w:rPr>
              <w:t>Production of pig iron/ferroalloys, steelmaking and seamless steel tubes</w:t>
            </w:r>
          </w:p>
        </w:tc>
      </w:tr>
      <w:tr w:rsidR="008A1E93" w:rsidRPr="008A1E93" w14:paraId="717441E0" w14:textId="77777777" w:rsidTr="00385866">
        <w:trPr>
          <w:jc w:val="center"/>
        </w:trPr>
        <w:tc>
          <w:tcPr>
            <w:tcW w:w="1786" w:type="pct"/>
            <w:vMerge/>
            <w:vAlign w:val="center"/>
            <w:hideMark/>
          </w:tcPr>
          <w:p w14:paraId="1C81ECE9" w14:textId="77777777" w:rsidR="008A1E93" w:rsidRPr="00522DCF" w:rsidRDefault="008A1E93" w:rsidP="008A1E93">
            <w:pPr>
              <w:spacing w:after="0" w:line="240" w:lineRule="auto"/>
              <w:rPr>
                <w:rFonts w:ascii="Times New Roman" w:eastAsia="Times New Roman" w:hAnsi="Times New Roman"/>
                <w:sz w:val="18"/>
                <w:szCs w:val="18"/>
              </w:rPr>
            </w:pPr>
          </w:p>
        </w:tc>
        <w:tc>
          <w:tcPr>
            <w:tcW w:w="3214" w:type="pct"/>
            <w:tcBorders>
              <w:top w:val="single" w:sz="4" w:space="0" w:color="auto"/>
              <w:bottom w:val="single" w:sz="4" w:space="0" w:color="auto"/>
              <w:right w:val="nil"/>
            </w:tcBorders>
            <w:noWrap/>
            <w:vAlign w:val="center"/>
            <w:hideMark/>
          </w:tcPr>
          <w:p w14:paraId="3F6A70C0" w14:textId="77777777" w:rsidR="008A1E93" w:rsidRPr="008A1E93" w:rsidRDefault="008A1E93" w:rsidP="008A1E93">
            <w:pPr>
              <w:spacing w:after="0" w:line="240" w:lineRule="auto"/>
              <w:rPr>
                <w:rFonts w:ascii="Times New Roman" w:eastAsia="Times New Roman" w:hAnsi="Times New Roman"/>
                <w:sz w:val="18"/>
                <w:szCs w:val="18"/>
              </w:rPr>
            </w:pPr>
            <w:r>
              <w:rPr>
                <w:rFonts w:ascii="Times New Roman" w:hAnsi="Times New Roman"/>
                <w:sz w:val="18"/>
              </w:rPr>
              <w:t>Non-ferrous metallurgy and casting</w:t>
            </w:r>
          </w:p>
        </w:tc>
      </w:tr>
      <w:tr w:rsidR="008A1E93" w:rsidRPr="008A1E93" w14:paraId="3D8B4C50" w14:textId="77777777" w:rsidTr="00385866">
        <w:trPr>
          <w:jc w:val="center"/>
        </w:trPr>
        <w:tc>
          <w:tcPr>
            <w:tcW w:w="1786" w:type="pct"/>
            <w:vMerge/>
            <w:vAlign w:val="center"/>
            <w:hideMark/>
          </w:tcPr>
          <w:p w14:paraId="14101D32" w14:textId="77777777" w:rsidR="008A1E93" w:rsidRPr="00522DCF" w:rsidRDefault="008A1E93" w:rsidP="008A1E93">
            <w:pPr>
              <w:spacing w:after="0" w:line="240" w:lineRule="auto"/>
              <w:rPr>
                <w:rFonts w:ascii="Times New Roman" w:eastAsia="Times New Roman" w:hAnsi="Times New Roman"/>
                <w:sz w:val="18"/>
                <w:szCs w:val="18"/>
              </w:rPr>
            </w:pPr>
          </w:p>
        </w:tc>
        <w:tc>
          <w:tcPr>
            <w:tcW w:w="3214" w:type="pct"/>
            <w:tcBorders>
              <w:top w:val="single" w:sz="4" w:space="0" w:color="auto"/>
              <w:bottom w:val="single" w:sz="4" w:space="0" w:color="auto"/>
              <w:right w:val="nil"/>
            </w:tcBorders>
            <w:noWrap/>
            <w:vAlign w:val="center"/>
            <w:hideMark/>
          </w:tcPr>
          <w:p w14:paraId="493CD384" w14:textId="77777777" w:rsidR="008A1E93" w:rsidRPr="008A1E93" w:rsidRDefault="008A1E93" w:rsidP="008A1E93">
            <w:pPr>
              <w:spacing w:after="0" w:line="240" w:lineRule="auto"/>
              <w:rPr>
                <w:rFonts w:ascii="Times New Roman" w:eastAsia="Times New Roman" w:hAnsi="Times New Roman"/>
                <w:sz w:val="18"/>
                <w:szCs w:val="18"/>
              </w:rPr>
            </w:pPr>
            <w:r>
              <w:rPr>
                <w:rFonts w:ascii="Times New Roman" w:hAnsi="Times New Roman"/>
                <w:sz w:val="18"/>
              </w:rPr>
              <w:t>Metal products, except machinery and equipment</w:t>
            </w:r>
          </w:p>
        </w:tc>
      </w:tr>
      <w:tr w:rsidR="008A1E93" w:rsidRPr="008A1E93" w14:paraId="7917F918" w14:textId="77777777" w:rsidTr="00385866">
        <w:trPr>
          <w:jc w:val="center"/>
        </w:trPr>
        <w:tc>
          <w:tcPr>
            <w:tcW w:w="1786" w:type="pct"/>
            <w:vMerge w:val="restart"/>
            <w:noWrap/>
            <w:vAlign w:val="center"/>
            <w:hideMark/>
          </w:tcPr>
          <w:p w14:paraId="23FB7F57" w14:textId="77777777" w:rsidR="008A1E93" w:rsidRPr="008A1E93" w:rsidRDefault="008A1E93" w:rsidP="008A1E93">
            <w:pPr>
              <w:spacing w:after="0" w:line="240" w:lineRule="auto"/>
              <w:rPr>
                <w:rFonts w:ascii="Times New Roman" w:eastAsia="Times New Roman" w:hAnsi="Times New Roman"/>
                <w:sz w:val="18"/>
                <w:szCs w:val="18"/>
              </w:rPr>
            </w:pPr>
            <w:r>
              <w:rPr>
                <w:rFonts w:ascii="Times New Roman" w:hAnsi="Times New Roman"/>
                <w:sz w:val="18"/>
              </w:rPr>
              <w:t>Electronic and mechanical equipment</w:t>
            </w:r>
          </w:p>
        </w:tc>
        <w:tc>
          <w:tcPr>
            <w:tcW w:w="3214" w:type="pct"/>
            <w:tcBorders>
              <w:top w:val="single" w:sz="4" w:space="0" w:color="auto"/>
              <w:bottom w:val="single" w:sz="4" w:space="0" w:color="auto"/>
              <w:right w:val="nil"/>
            </w:tcBorders>
            <w:noWrap/>
            <w:vAlign w:val="center"/>
            <w:hideMark/>
          </w:tcPr>
          <w:p w14:paraId="02510420" w14:textId="77777777" w:rsidR="008A1E93" w:rsidRPr="008A1E93" w:rsidRDefault="008A1E93" w:rsidP="008A1E93">
            <w:pPr>
              <w:spacing w:after="0" w:line="240" w:lineRule="auto"/>
              <w:rPr>
                <w:rFonts w:ascii="Times New Roman" w:eastAsia="Times New Roman" w:hAnsi="Times New Roman"/>
                <w:sz w:val="18"/>
                <w:szCs w:val="18"/>
              </w:rPr>
            </w:pPr>
            <w:r>
              <w:rPr>
                <w:rFonts w:ascii="Times New Roman" w:hAnsi="Times New Roman"/>
                <w:sz w:val="18"/>
              </w:rPr>
              <w:t>Computer equipment, electronic and optical products</w:t>
            </w:r>
          </w:p>
        </w:tc>
      </w:tr>
      <w:tr w:rsidR="008A1E93" w:rsidRPr="008A1E93" w14:paraId="0B4DB380" w14:textId="77777777" w:rsidTr="00385866">
        <w:trPr>
          <w:jc w:val="center"/>
        </w:trPr>
        <w:tc>
          <w:tcPr>
            <w:tcW w:w="1786" w:type="pct"/>
            <w:vMerge/>
            <w:vAlign w:val="center"/>
            <w:hideMark/>
          </w:tcPr>
          <w:p w14:paraId="27BBF3C6" w14:textId="77777777" w:rsidR="008A1E93" w:rsidRPr="00522DCF" w:rsidRDefault="008A1E93" w:rsidP="008A1E93">
            <w:pPr>
              <w:spacing w:after="0" w:line="240" w:lineRule="auto"/>
              <w:rPr>
                <w:rFonts w:ascii="Times New Roman" w:eastAsia="Times New Roman" w:hAnsi="Times New Roman"/>
                <w:sz w:val="18"/>
                <w:szCs w:val="18"/>
              </w:rPr>
            </w:pPr>
          </w:p>
        </w:tc>
        <w:tc>
          <w:tcPr>
            <w:tcW w:w="3214" w:type="pct"/>
            <w:tcBorders>
              <w:top w:val="single" w:sz="4" w:space="0" w:color="auto"/>
              <w:bottom w:val="single" w:sz="4" w:space="0" w:color="auto"/>
              <w:right w:val="nil"/>
            </w:tcBorders>
            <w:noWrap/>
            <w:vAlign w:val="center"/>
            <w:hideMark/>
          </w:tcPr>
          <w:p w14:paraId="7083CC9E" w14:textId="77777777" w:rsidR="008A1E93" w:rsidRPr="008A1E93" w:rsidRDefault="008A1E93" w:rsidP="008A1E93">
            <w:pPr>
              <w:spacing w:after="0" w:line="240" w:lineRule="auto"/>
              <w:rPr>
                <w:rFonts w:ascii="Times New Roman" w:eastAsia="Times New Roman" w:hAnsi="Times New Roman"/>
                <w:sz w:val="18"/>
                <w:szCs w:val="18"/>
              </w:rPr>
            </w:pPr>
            <w:r>
              <w:rPr>
                <w:rFonts w:ascii="Times New Roman" w:hAnsi="Times New Roman"/>
                <w:sz w:val="18"/>
              </w:rPr>
              <w:t>Manufacture of electrical machinery and equipment</w:t>
            </w:r>
          </w:p>
        </w:tc>
      </w:tr>
      <w:tr w:rsidR="008A1E93" w:rsidRPr="008A1E93" w14:paraId="69300FCA" w14:textId="77777777" w:rsidTr="00385866">
        <w:trPr>
          <w:jc w:val="center"/>
        </w:trPr>
        <w:tc>
          <w:tcPr>
            <w:tcW w:w="1786" w:type="pct"/>
            <w:vMerge/>
            <w:vAlign w:val="center"/>
            <w:hideMark/>
          </w:tcPr>
          <w:p w14:paraId="3EEBF0C5" w14:textId="77777777" w:rsidR="008A1E93" w:rsidRPr="00522DCF" w:rsidRDefault="008A1E93" w:rsidP="008A1E93">
            <w:pPr>
              <w:spacing w:after="0" w:line="240" w:lineRule="auto"/>
              <w:rPr>
                <w:rFonts w:ascii="Times New Roman" w:eastAsia="Times New Roman" w:hAnsi="Times New Roman"/>
                <w:sz w:val="18"/>
                <w:szCs w:val="18"/>
              </w:rPr>
            </w:pPr>
          </w:p>
        </w:tc>
        <w:tc>
          <w:tcPr>
            <w:tcW w:w="3214" w:type="pct"/>
            <w:tcBorders>
              <w:top w:val="single" w:sz="4" w:space="0" w:color="auto"/>
              <w:bottom w:val="single" w:sz="4" w:space="0" w:color="auto"/>
              <w:right w:val="nil"/>
            </w:tcBorders>
            <w:noWrap/>
            <w:vAlign w:val="center"/>
            <w:hideMark/>
          </w:tcPr>
          <w:p w14:paraId="7C80830A" w14:textId="77777777" w:rsidR="008A1E93" w:rsidRPr="008A1E93" w:rsidRDefault="008A1E93" w:rsidP="008A1E93">
            <w:pPr>
              <w:spacing w:after="0" w:line="240" w:lineRule="auto"/>
              <w:rPr>
                <w:rFonts w:ascii="Times New Roman" w:eastAsia="Times New Roman" w:hAnsi="Times New Roman"/>
                <w:sz w:val="18"/>
                <w:szCs w:val="18"/>
              </w:rPr>
            </w:pPr>
            <w:r>
              <w:rPr>
                <w:rFonts w:ascii="Times New Roman" w:hAnsi="Times New Roman"/>
                <w:sz w:val="18"/>
              </w:rPr>
              <w:t>Manufacture of mechanical machinery and equipment</w:t>
            </w:r>
          </w:p>
        </w:tc>
      </w:tr>
      <w:tr w:rsidR="008A1E93" w:rsidRPr="008A1E93" w14:paraId="0897D49D" w14:textId="77777777" w:rsidTr="00385866">
        <w:trPr>
          <w:jc w:val="center"/>
        </w:trPr>
        <w:tc>
          <w:tcPr>
            <w:tcW w:w="1786" w:type="pct"/>
            <w:vMerge w:val="restart"/>
            <w:noWrap/>
            <w:vAlign w:val="center"/>
            <w:hideMark/>
          </w:tcPr>
          <w:p w14:paraId="73DAADA5" w14:textId="77777777" w:rsidR="008A1E93" w:rsidRPr="008A1E93" w:rsidRDefault="008A1E93" w:rsidP="008A1E93">
            <w:pPr>
              <w:spacing w:after="0" w:line="240" w:lineRule="auto"/>
              <w:rPr>
                <w:rFonts w:ascii="Times New Roman" w:eastAsia="Times New Roman" w:hAnsi="Times New Roman"/>
                <w:sz w:val="18"/>
                <w:szCs w:val="18"/>
              </w:rPr>
            </w:pPr>
            <w:r>
              <w:rPr>
                <w:rFonts w:ascii="Times New Roman" w:hAnsi="Times New Roman"/>
                <w:sz w:val="18"/>
              </w:rPr>
              <w:t>Car and parts manufacturing</w:t>
            </w:r>
          </w:p>
        </w:tc>
        <w:tc>
          <w:tcPr>
            <w:tcW w:w="3214" w:type="pct"/>
            <w:tcBorders>
              <w:top w:val="single" w:sz="4" w:space="0" w:color="auto"/>
              <w:bottom w:val="single" w:sz="4" w:space="0" w:color="auto"/>
              <w:right w:val="nil"/>
            </w:tcBorders>
            <w:noWrap/>
            <w:vAlign w:val="center"/>
            <w:hideMark/>
          </w:tcPr>
          <w:p w14:paraId="2744770C" w14:textId="77777777" w:rsidR="008A1E93" w:rsidRPr="008A1E93" w:rsidRDefault="008A1E93" w:rsidP="008A1E93">
            <w:pPr>
              <w:spacing w:after="0" w:line="240" w:lineRule="auto"/>
              <w:rPr>
                <w:rFonts w:ascii="Times New Roman" w:eastAsia="Times New Roman" w:hAnsi="Times New Roman"/>
                <w:sz w:val="18"/>
                <w:szCs w:val="18"/>
              </w:rPr>
            </w:pPr>
            <w:r>
              <w:rPr>
                <w:rFonts w:ascii="Times New Roman" w:hAnsi="Times New Roman"/>
                <w:sz w:val="18"/>
              </w:rPr>
              <w:t>Car and parts manufacturing, except parts</w:t>
            </w:r>
          </w:p>
        </w:tc>
      </w:tr>
      <w:tr w:rsidR="008A1E93" w:rsidRPr="008A1E93" w14:paraId="0008D789" w14:textId="77777777" w:rsidTr="00385866">
        <w:trPr>
          <w:jc w:val="center"/>
        </w:trPr>
        <w:tc>
          <w:tcPr>
            <w:tcW w:w="1786" w:type="pct"/>
            <w:vMerge/>
            <w:vAlign w:val="center"/>
            <w:hideMark/>
          </w:tcPr>
          <w:p w14:paraId="43C448ED" w14:textId="77777777" w:rsidR="008A1E93" w:rsidRPr="00522DCF" w:rsidRDefault="008A1E93" w:rsidP="008A1E93">
            <w:pPr>
              <w:spacing w:after="0" w:line="240" w:lineRule="auto"/>
              <w:rPr>
                <w:rFonts w:ascii="Times New Roman" w:eastAsia="Times New Roman" w:hAnsi="Times New Roman"/>
                <w:sz w:val="18"/>
                <w:szCs w:val="18"/>
              </w:rPr>
            </w:pPr>
          </w:p>
        </w:tc>
        <w:tc>
          <w:tcPr>
            <w:tcW w:w="3214" w:type="pct"/>
            <w:tcBorders>
              <w:top w:val="single" w:sz="4" w:space="0" w:color="auto"/>
              <w:bottom w:val="single" w:sz="4" w:space="0" w:color="auto"/>
              <w:right w:val="nil"/>
            </w:tcBorders>
            <w:noWrap/>
            <w:vAlign w:val="center"/>
            <w:hideMark/>
          </w:tcPr>
          <w:p w14:paraId="5C2E8749" w14:textId="77777777" w:rsidR="008A1E93" w:rsidRPr="008A1E93" w:rsidRDefault="008A1E93" w:rsidP="008A1E93">
            <w:pPr>
              <w:spacing w:after="0" w:line="240" w:lineRule="auto"/>
              <w:rPr>
                <w:rFonts w:ascii="Times New Roman" w:eastAsia="Times New Roman" w:hAnsi="Times New Roman"/>
                <w:sz w:val="18"/>
                <w:szCs w:val="18"/>
              </w:rPr>
            </w:pPr>
            <w:r>
              <w:rPr>
                <w:rFonts w:ascii="Times New Roman" w:hAnsi="Times New Roman"/>
                <w:sz w:val="18"/>
              </w:rPr>
              <w:t xml:space="preserve">Manufacture of vehicle parts and accessories </w:t>
            </w:r>
          </w:p>
        </w:tc>
      </w:tr>
      <w:tr w:rsidR="008A1E93" w:rsidRPr="008A1E93" w14:paraId="47826A10" w14:textId="77777777" w:rsidTr="00385866">
        <w:trPr>
          <w:jc w:val="center"/>
        </w:trPr>
        <w:tc>
          <w:tcPr>
            <w:tcW w:w="1786" w:type="pct"/>
            <w:vMerge w:val="restart"/>
            <w:noWrap/>
            <w:vAlign w:val="center"/>
            <w:hideMark/>
          </w:tcPr>
          <w:p w14:paraId="6E415857" w14:textId="77777777" w:rsidR="008A1E93" w:rsidRPr="008A1E93" w:rsidRDefault="008A1E93" w:rsidP="008A1E93">
            <w:pPr>
              <w:spacing w:after="0" w:line="240" w:lineRule="auto"/>
              <w:rPr>
                <w:rFonts w:ascii="Times New Roman" w:eastAsia="Times New Roman" w:hAnsi="Times New Roman"/>
                <w:sz w:val="18"/>
                <w:szCs w:val="18"/>
              </w:rPr>
            </w:pPr>
            <w:r>
              <w:rPr>
                <w:rFonts w:ascii="Times New Roman" w:hAnsi="Times New Roman"/>
                <w:sz w:val="18"/>
              </w:rPr>
              <w:t>Other industrial activities</w:t>
            </w:r>
          </w:p>
        </w:tc>
        <w:tc>
          <w:tcPr>
            <w:tcW w:w="3214" w:type="pct"/>
            <w:tcBorders>
              <w:top w:val="single" w:sz="4" w:space="0" w:color="auto"/>
              <w:bottom w:val="single" w:sz="4" w:space="0" w:color="auto"/>
              <w:right w:val="nil"/>
            </w:tcBorders>
            <w:noWrap/>
            <w:vAlign w:val="center"/>
            <w:hideMark/>
          </w:tcPr>
          <w:p w14:paraId="5BE6FCF0" w14:textId="77777777" w:rsidR="008A1E93" w:rsidRPr="008A1E93" w:rsidRDefault="008A1E93" w:rsidP="008A1E93">
            <w:pPr>
              <w:spacing w:after="0" w:line="240" w:lineRule="auto"/>
              <w:rPr>
                <w:rFonts w:ascii="Times New Roman" w:eastAsia="Times New Roman" w:hAnsi="Times New Roman"/>
                <w:sz w:val="18"/>
                <w:szCs w:val="18"/>
              </w:rPr>
            </w:pPr>
            <w:r>
              <w:rPr>
                <w:rFonts w:ascii="Times New Roman" w:hAnsi="Times New Roman"/>
                <w:sz w:val="18"/>
              </w:rPr>
              <w:t>Manufacture of tobacco products</w:t>
            </w:r>
          </w:p>
        </w:tc>
      </w:tr>
      <w:tr w:rsidR="008A1E93" w:rsidRPr="008A1E93" w14:paraId="530A0818" w14:textId="77777777" w:rsidTr="00385866">
        <w:trPr>
          <w:jc w:val="center"/>
        </w:trPr>
        <w:tc>
          <w:tcPr>
            <w:tcW w:w="1786" w:type="pct"/>
            <w:vMerge/>
            <w:vAlign w:val="center"/>
            <w:hideMark/>
          </w:tcPr>
          <w:p w14:paraId="712BD0B6" w14:textId="77777777" w:rsidR="008A1E93" w:rsidRPr="008A1E93" w:rsidRDefault="008A1E93" w:rsidP="008A1E93">
            <w:pPr>
              <w:spacing w:after="0" w:line="240" w:lineRule="auto"/>
              <w:rPr>
                <w:rFonts w:ascii="Times New Roman" w:eastAsia="Times New Roman" w:hAnsi="Times New Roman"/>
                <w:sz w:val="18"/>
                <w:szCs w:val="18"/>
                <w:lang w:val="pt-BR"/>
              </w:rPr>
            </w:pPr>
          </w:p>
        </w:tc>
        <w:tc>
          <w:tcPr>
            <w:tcW w:w="3214" w:type="pct"/>
            <w:tcBorders>
              <w:top w:val="single" w:sz="4" w:space="0" w:color="auto"/>
              <w:bottom w:val="single" w:sz="4" w:space="0" w:color="auto"/>
              <w:right w:val="nil"/>
            </w:tcBorders>
            <w:noWrap/>
            <w:vAlign w:val="center"/>
            <w:hideMark/>
          </w:tcPr>
          <w:p w14:paraId="38F2BB59" w14:textId="77777777" w:rsidR="008A1E93" w:rsidRPr="008A1E93" w:rsidRDefault="008A1E93" w:rsidP="008A1E93">
            <w:pPr>
              <w:spacing w:after="0" w:line="240" w:lineRule="auto"/>
              <w:rPr>
                <w:rFonts w:ascii="Times New Roman" w:eastAsia="Times New Roman" w:hAnsi="Times New Roman"/>
                <w:sz w:val="18"/>
                <w:szCs w:val="18"/>
              </w:rPr>
            </w:pPr>
            <w:r>
              <w:rPr>
                <w:rFonts w:ascii="Times New Roman" w:hAnsi="Times New Roman"/>
                <w:sz w:val="18"/>
              </w:rPr>
              <w:t>Printing and reproduction of recorded media</w:t>
            </w:r>
          </w:p>
        </w:tc>
      </w:tr>
      <w:tr w:rsidR="008A1E93" w:rsidRPr="008A1E93" w14:paraId="272DB902" w14:textId="77777777" w:rsidTr="00385866">
        <w:trPr>
          <w:jc w:val="center"/>
        </w:trPr>
        <w:tc>
          <w:tcPr>
            <w:tcW w:w="1786" w:type="pct"/>
            <w:vMerge/>
            <w:vAlign w:val="center"/>
            <w:hideMark/>
          </w:tcPr>
          <w:p w14:paraId="42E5547D" w14:textId="77777777" w:rsidR="008A1E93" w:rsidRPr="00522DCF" w:rsidRDefault="008A1E93" w:rsidP="008A1E93">
            <w:pPr>
              <w:spacing w:after="0" w:line="240" w:lineRule="auto"/>
              <w:rPr>
                <w:rFonts w:ascii="Times New Roman" w:eastAsia="Times New Roman" w:hAnsi="Times New Roman"/>
                <w:sz w:val="18"/>
                <w:szCs w:val="18"/>
              </w:rPr>
            </w:pPr>
          </w:p>
        </w:tc>
        <w:tc>
          <w:tcPr>
            <w:tcW w:w="3214" w:type="pct"/>
            <w:tcBorders>
              <w:top w:val="single" w:sz="4" w:space="0" w:color="auto"/>
              <w:bottom w:val="single" w:sz="4" w:space="0" w:color="auto"/>
              <w:right w:val="nil"/>
            </w:tcBorders>
            <w:noWrap/>
            <w:vAlign w:val="center"/>
            <w:hideMark/>
          </w:tcPr>
          <w:p w14:paraId="72E71C18" w14:textId="77777777" w:rsidR="008A1E93" w:rsidRPr="008A1E93" w:rsidRDefault="008A1E93" w:rsidP="008A1E93">
            <w:pPr>
              <w:spacing w:after="0" w:line="240" w:lineRule="auto"/>
              <w:rPr>
                <w:rFonts w:ascii="Times New Roman" w:eastAsia="Times New Roman" w:hAnsi="Times New Roman"/>
                <w:sz w:val="18"/>
                <w:szCs w:val="18"/>
              </w:rPr>
            </w:pPr>
            <w:r>
              <w:rPr>
                <w:rFonts w:ascii="Times New Roman" w:hAnsi="Times New Roman"/>
                <w:sz w:val="18"/>
              </w:rPr>
              <w:t>Manufacture of other transport equipment, except motor vehicles</w:t>
            </w:r>
          </w:p>
        </w:tc>
      </w:tr>
      <w:tr w:rsidR="008A1E93" w:rsidRPr="008A1E93" w14:paraId="2E08A3F9" w14:textId="77777777" w:rsidTr="00385866">
        <w:trPr>
          <w:jc w:val="center"/>
        </w:trPr>
        <w:tc>
          <w:tcPr>
            <w:tcW w:w="1786" w:type="pct"/>
            <w:vMerge/>
            <w:vAlign w:val="center"/>
            <w:hideMark/>
          </w:tcPr>
          <w:p w14:paraId="201F57F9" w14:textId="77777777" w:rsidR="008A1E93" w:rsidRPr="00522DCF" w:rsidRDefault="008A1E93" w:rsidP="008A1E93">
            <w:pPr>
              <w:spacing w:after="0" w:line="240" w:lineRule="auto"/>
              <w:rPr>
                <w:rFonts w:ascii="Times New Roman" w:eastAsia="Times New Roman" w:hAnsi="Times New Roman"/>
                <w:sz w:val="18"/>
                <w:szCs w:val="18"/>
              </w:rPr>
            </w:pPr>
          </w:p>
        </w:tc>
        <w:tc>
          <w:tcPr>
            <w:tcW w:w="3214" w:type="pct"/>
            <w:tcBorders>
              <w:top w:val="single" w:sz="4" w:space="0" w:color="auto"/>
              <w:bottom w:val="single" w:sz="4" w:space="0" w:color="auto"/>
              <w:right w:val="nil"/>
            </w:tcBorders>
            <w:noWrap/>
            <w:vAlign w:val="center"/>
            <w:hideMark/>
          </w:tcPr>
          <w:p w14:paraId="6D7EA18E" w14:textId="77777777" w:rsidR="008A1E93" w:rsidRPr="008A1E93" w:rsidRDefault="008A1E93" w:rsidP="008A1E93">
            <w:pPr>
              <w:spacing w:after="0" w:line="240" w:lineRule="auto"/>
              <w:rPr>
                <w:rFonts w:ascii="Times New Roman" w:eastAsia="Times New Roman" w:hAnsi="Times New Roman"/>
                <w:sz w:val="18"/>
                <w:szCs w:val="18"/>
              </w:rPr>
            </w:pPr>
            <w:r>
              <w:rPr>
                <w:rFonts w:ascii="Times New Roman" w:hAnsi="Times New Roman"/>
                <w:sz w:val="18"/>
              </w:rPr>
              <w:t>Manufacture of furniture and products for various industries</w:t>
            </w:r>
          </w:p>
        </w:tc>
      </w:tr>
      <w:tr w:rsidR="008A1E93" w:rsidRPr="008A1E93" w14:paraId="0A4A14A1" w14:textId="77777777" w:rsidTr="00385866">
        <w:trPr>
          <w:jc w:val="center"/>
        </w:trPr>
        <w:tc>
          <w:tcPr>
            <w:tcW w:w="1786" w:type="pct"/>
            <w:vMerge/>
            <w:vAlign w:val="center"/>
            <w:hideMark/>
          </w:tcPr>
          <w:p w14:paraId="1C8743C7" w14:textId="77777777" w:rsidR="008A1E93" w:rsidRPr="00522DCF" w:rsidRDefault="008A1E93" w:rsidP="008A1E93">
            <w:pPr>
              <w:spacing w:after="0" w:line="240" w:lineRule="auto"/>
              <w:rPr>
                <w:rFonts w:ascii="Times New Roman" w:eastAsia="Times New Roman" w:hAnsi="Times New Roman"/>
                <w:sz w:val="18"/>
                <w:szCs w:val="18"/>
              </w:rPr>
            </w:pPr>
          </w:p>
        </w:tc>
        <w:tc>
          <w:tcPr>
            <w:tcW w:w="3214" w:type="pct"/>
            <w:tcBorders>
              <w:top w:val="single" w:sz="4" w:space="0" w:color="auto"/>
              <w:bottom w:val="single" w:sz="4" w:space="0" w:color="auto"/>
              <w:right w:val="nil"/>
            </w:tcBorders>
            <w:noWrap/>
            <w:vAlign w:val="center"/>
            <w:hideMark/>
          </w:tcPr>
          <w:p w14:paraId="0C3FE53D" w14:textId="77777777" w:rsidR="008A1E93" w:rsidRPr="008A1E93" w:rsidRDefault="008A1E93" w:rsidP="008A1E93">
            <w:pPr>
              <w:spacing w:after="0" w:line="240" w:lineRule="auto"/>
              <w:rPr>
                <w:rFonts w:ascii="Times New Roman" w:eastAsia="Times New Roman" w:hAnsi="Times New Roman"/>
                <w:sz w:val="18"/>
                <w:szCs w:val="18"/>
              </w:rPr>
            </w:pPr>
            <w:r>
              <w:rPr>
                <w:rFonts w:ascii="Times New Roman" w:hAnsi="Times New Roman"/>
                <w:sz w:val="18"/>
              </w:rPr>
              <w:t>Maintenance, repair and installation of machines</w:t>
            </w:r>
          </w:p>
        </w:tc>
      </w:tr>
      <w:tr w:rsidR="008A1E93" w:rsidRPr="008A1E93" w14:paraId="3269DF3A" w14:textId="77777777" w:rsidTr="00385866">
        <w:trPr>
          <w:jc w:val="center"/>
        </w:trPr>
        <w:tc>
          <w:tcPr>
            <w:tcW w:w="1786" w:type="pct"/>
            <w:noWrap/>
            <w:vAlign w:val="center"/>
            <w:hideMark/>
          </w:tcPr>
          <w:p w14:paraId="57061232" w14:textId="77777777" w:rsidR="008A1E93" w:rsidRPr="008A1E93" w:rsidRDefault="008A1E93" w:rsidP="008A1E93">
            <w:pPr>
              <w:spacing w:after="0" w:line="240" w:lineRule="auto"/>
              <w:rPr>
                <w:rFonts w:ascii="Times New Roman" w:eastAsia="Times New Roman" w:hAnsi="Times New Roman"/>
                <w:b/>
                <w:bCs/>
                <w:sz w:val="18"/>
                <w:szCs w:val="18"/>
              </w:rPr>
            </w:pPr>
            <w:r>
              <w:rPr>
                <w:rFonts w:ascii="Times New Roman" w:hAnsi="Times New Roman"/>
                <w:b/>
                <w:sz w:val="18"/>
              </w:rPr>
              <w:t>Electricity and Gas</w:t>
            </w:r>
          </w:p>
        </w:tc>
        <w:tc>
          <w:tcPr>
            <w:tcW w:w="3214" w:type="pct"/>
            <w:tcBorders>
              <w:top w:val="single" w:sz="4" w:space="0" w:color="auto"/>
              <w:bottom w:val="single" w:sz="4" w:space="0" w:color="auto"/>
              <w:right w:val="nil"/>
            </w:tcBorders>
            <w:noWrap/>
            <w:vAlign w:val="center"/>
            <w:hideMark/>
          </w:tcPr>
          <w:p w14:paraId="1EF4DA5D" w14:textId="77777777" w:rsidR="008A1E93" w:rsidRPr="008A1E93" w:rsidRDefault="008A1E93" w:rsidP="008A1E93">
            <w:pPr>
              <w:spacing w:after="0" w:line="240" w:lineRule="auto"/>
              <w:rPr>
                <w:rFonts w:ascii="Times New Roman" w:eastAsia="Times New Roman" w:hAnsi="Times New Roman"/>
                <w:b/>
                <w:bCs/>
                <w:sz w:val="18"/>
                <w:szCs w:val="18"/>
              </w:rPr>
            </w:pPr>
            <w:r>
              <w:rPr>
                <w:rFonts w:ascii="Times New Roman" w:hAnsi="Times New Roman"/>
                <w:b/>
                <w:sz w:val="18"/>
              </w:rPr>
              <w:t>Electricity, natural gas and other utilities</w:t>
            </w:r>
          </w:p>
        </w:tc>
      </w:tr>
      <w:tr w:rsidR="008A1E93" w:rsidRPr="008A1E93" w14:paraId="21B968E1" w14:textId="77777777" w:rsidTr="00385866">
        <w:trPr>
          <w:jc w:val="center"/>
        </w:trPr>
        <w:tc>
          <w:tcPr>
            <w:tcW w:w="1786" w:type="pct"/>
            <w:noWrap/>
            <w:vAlign w:val="center"/>
            <w:hideMark/>
          </w:tcPr>
          <w:p w14:paraId="22A58BD0" w14:textId="77777777" w:rsidR="008A1E93" w:rsidRPr="008A1E93" w:rsidRDefault="008A1E93" w:rsidP="008A1E93">
            <w:pPr>
              <w:spacing w:after="0" w:line="240" w:lineRule="auto"/>
              <w:rPr>
                <w:rFonts w:ascii="Times New Roman" w:eastAsia="Times New Roman" w:hAnsi="Times New Roman"/>
                <w:sz w:val="18"/>
                <w:szCs w:val="18"/>
              </w:rPr>
            </w:pPr>
            <w:r>
              <w:rPr>
                <w:rFonts w:ascii="Times New Roman" w:hAnsi="Times New Roman"/>
                <w:sz w:val="18"/>
              </w:rPr>
              <w:t>Water, sewage and waste management activities</w:t>
            </w:r>
          </w:p>
        </w:tc>
        <w:tc>
          <w:tcPr>
            <w:tcW w:w="3214" w:type="pct"/>
            <w:tcBorders>
              <w:top w:val="single" w:sz="4" w:space="0" w:color="auto"/>
              <w:bottom w:val="single" w:sz="4" w:space="0" w:color="auto"/>
              <w:right w:val="nil"/>
            </w:tcBorders>
            <w:noWrap/>
            <w:vAlign w:val="center"/>
            <w:hideMark/>
          </w:tcPr>
          <w:p w14:paraId="43F178F0" w14:textId="77777777" w:rsidR="008A1E93" w:rsidRPr="008A1E93" w:rsidRDefault="008A1E93" w:rsidP="008A1E93">
            <w:pPr>
              <w:spacing w:after="0" w:line="240" w:lineRule="auto"/>
              <w:rPr>
                <w:rFonts w:ascii="Times New Roman" w:eastAsia="Times New Roman" w:hAnsi="Times New Roman"/>
                <w:sz w:val="18"/>
                <w:szCs w:val="18"/>
              </w:rPr>
            </w:pPr>
            <w:r>
              <w:rPr>
                <w:rFonts w:ascii="Times New Roman" w:hAnsi="Times New Roman"/>
                <w:sz w:val="18"/>
              </w:rPr>
              <w:t>Water, sewage and waste management</w:t>
            </w:r>
          </w:p>
        </w:tc>
      </w:tr>
      <w:tr w:rsidR="008A1E93" w:rsidRPr="008A1E93" w14:paraId="37062055" w14:textId="77777777" w:rsidTr="00385866">
        <w:trPr>
          <w:jc w:val="center"/>
        </w:trPr>
        <w:tc>
          <w:tcPr>
            <w:tcW w:w="1786" w:type="pct"/>
            <w:noWrap/>
            <w:vAlign w:val="center"/>
            <w:hideMark/>
          </w:tcPr>
          <w:p w14:paraId="60F94379" w14:textId="77777777" w:rsidR="008A1E93" w:rsidRPr="008A1E93" w:rsidRDefault="008A1E93" w:rsidP="008A1E93">
            <w:pPr>
              <w:spacing w:after="0" w:line="240" w:lineRule="auto"/>
              <w:rPr>
                <w:rFonts w:ascii="Times New Roman" w:eastAsia="Times New Roman" w:hAnsi="Times New Roman"/>
                <w:sz w:val="18"/>
                <w:szCs w:val="18"/>
              </w:rPr>
            </w:pPr>
            <w:r>
              <w:rPr>
                <w:rFonts w:ascii="Times New Roman" w:hAnsi="Times New Roman"/>
                <w:sz w:val="18"/>
              </w:rPr>
              <w:t>Construction</w:t>
            </w:r>
          </w:p>
        </w:tc>
        <w:tc>
          <w:tcPr>
            <w:tcW w:w="3214" w:type="pct"/>
            <w:tcBorders>
              <w:top w:val="single" w:sz="4" w:space="0" w:color="auto"/>
              <w:bottom w:val="single" w:sz="4" w:space="0" w:color="auto"/>
              <w:right w:val="nil"/>
            </w:tcBorders>
            <w:noWrap/>
            <w:vAlign w:val="center"/>
            <w:hideMark/>
          </w:tcPr>
          <w:p w14:paraId="559E5A96" w14:textId="77777777" w:rsidR="008A1E93" w:rsidRPr="008A1E93" w:rsidRDefault="008A1E93" w:rsidP="008A1E93">
            <w:pPr>
              <w:spacing w:after="0" w:line="240" w:lineRule="auto"/>
              <w:rPr>
                <w:rFonts w:ascii="Times New Roman" w:eastAsia="Times New Roman" w:hAnsi="Times New Roman"/>
                <w:sz w:val="18"/>
                <w:szCs w:val="18"/>
              </w:rPr>
            </w:pPr>
            <w:r>
              <w:rPr>
                <w:rFonts w:ascii="Times New Roman" w:hAnsi="Times New Roman"/>
                <w:sz w:val="18"/>
              </w:rPr>
              <w:t>Construction</w:t>
            </w:r>
          </w:p>
        </w:tc>
      </w:tr>
      <w:tr w:rsidR="008A1E93" w:rsidRPr="008A1E93" w14:paraId="4ABD799F" w14:textId="77777777" w:rsidTr="00385866">
        <w:trPr>
          <w:jc w:val="center"/>
        </w:trPr>
        <w:tc>
          <w:tcPr>
            <w:tcW w:w="1786" w:type="pct"/>
            <w:vMerge w:val="restart"/>
            <w:noWrap/>
            <w:vAlign w:val="center"/>
            <w:hideMark/>
          </w:tcPr>
          <w:p w14:paraId="01132FAE" w14:textId="77777777" w:rsidR="008A1E93" w:rsidRPr="008A1E93" w:rsidRDefault="008A1E93" w:rsidP="008A1E93">
            <w:pPr>
              <w:spacing w:after="0" w:line="240" w:lineRule="auto"/>
              <w:rPr>
                <w:rFonts w:ascii="Times New Roman" w:eastAsia="Times New Roman" w:hAnsi="Times New Roman"/>
                <w:sz w:val="18"/>
                <w:szCs w:val="18"/>
              </w:rPr>
            </w:pPr>
            <w:r>
              <w:rPr>
                <w:rFonts w:ascii="Times New Roman" w:hAnsi="Times New Roman"/>
                <w:sz w:val="18"/>
              </w:rPr>
              <w:t>Trade and repair of motor vehicles and motorcycles</w:t>
            </w:r>
          </w:p>
        </w:tc>
        <w:tc>
          <w:tcPr>
            <w:tcW w:w="3214" w:type="pct"/>
            <w:tcBorders>
              <w:top w:val="single" w:sz="4" w:space="0" w:color="auto"/>
              <w:bottom w:val="single" w:sz="4" w:space="0" w:color="auto"/>
              <w:right w:val="nil"/>
            </w:tcBorders>
            <w:noWrap/>
            <w:vAlign w:val="center"/>
            <w:hideMark/>
          </w:tcPr>
          <w:p w14:paraId="5818CEAC" w14:textId="77777777" w:rsidR="008A1E93" w:rsidRPr="008A1E93" w:rsidRDefault="008A1E93" w:rsidP="008A1E93">
            <w:pPr>
              <w:spacing w:after="0" w:line="240" w:lineRule="auto"/>
              <w:rPr>
                <w:rFonts w:ascii="Times New Roman" w:eastAsia="Times New Roman" w:hAnsi="Times New Roman"/>
                <w:sz w:val="18"/>
                <w:szCs w:val="18"/>
              </w:rPr>
            </w:pPr>
            <w:r>
              <w:rPr>
                <w:rFonts w:ascii="Times New Roman" w:hAnsi="Times New Roman"/>
                <w:sz w:val="18"/>
              </w:rPr>
              <w:t>Trade and repair of motor vehicles</w:t>
            </w:r>
          </w:p>
        </w:tc>
      </w:tr>
      <w:tr w:rsidR="008A1E93" w:rsidRPr="008A1E93" w14:paraId="33ED756A" w14:textId="77777777" w:rsidTr="00385866">
        <w:trPr>
          <w:jc w:val="center"/>
        </w:trPr>
        <w:tc>
          <w:tcPr>
            <w:tcW w:w="1786" w:type="pct"/>
            <w:vMerge/>
            <w:vAlign w:val="center"/>
            <w:hideMark/>
          </w:tcPr>
          <w:p w14:paraId="61EFA599" w14:textId="77777777" w:rsidR="008A1E93" w:rsidRPr="00522DCF" w:rsidRDefault="008A1E93" w:rsidP="008A1E93">
            <w:pPr>
              <w:spacing w:after="0" w:line="240" w:lineRule="auto"/>
              <w:rPr>
                <w:rFonts w:ascii="Times New Roman" w:eastAsia="Times New Roman" w:hAnsi="Times New Roman"/>
                <w:sz w:val="18"/>
                <w:szCs w:val="18"/>
              </w:rPr>
            </w:pPr>
          </w:p>
        </w:tc>
        <w:tc>
          <w:tcPr>
            <w:tcW w:w="3214" w:type="pct"/>
            <w:tcBorders>
              <w:top w:val="single" w:sz="4" w:space="0" w:color="auto"/>
              <w:bottom w:val="single" w:sz="4" w:space="0" w:color="auto"/>
              <w:right w:val="nil"/>
            </w:tcBorders>
            <w:noWrap/>
            <w:vAlign w:val="center"/>
            <w:hideMark/>
          </w:tcPr>
          <w:p w14:paraId="41B0BA72" w14:textId="77777777" w:rsidR="008A1E93" w:rsidRPr="008A1E93" w:rsidRDefault="008A1E93" w:rsidP="008A1E93">
            <w:pPr>
              <w:spacing w:after="0" w:line="240" w:lineRule="auto"/>
              <w:rPr>
                <w:rFonts w:ascii="Times New Roman" w:eastAsia="Times New Roman" w:hAnsi="Times New Roman"/>
                <w:sz w:val="18"/>
                <w:szCs w:val="18"/>
              </w:rPr>
            </w:pPr>
            <w:r>
              <w:rPr>
                <w:rFonts w:ascii="Times New Roman" w:hAnsi="Times New Roman"/>
                <w:sz w:val="18"/>
              </w:rPr>
              <w:t xml:space="preserve">Wholesale and retail trade, except vehicles </w:t>
            </w:r>
          </w:p>
        </w:tc>
      </w:tr>
      <w:tr w:rsidR="008A1E93" w:rsidRPr="008A1E93" w14:paraId="724509D4" w14:textId="77777777" w:rsidTr="00385866">
        <w:trPr>
          <w:jc w:val="center"/>
        </w:trPr>
        <w:tc>
          <w:tcPr>
            <w:tcW w:w="1786" w:type="pct"/>
            <w:vMerge w:val="restart"/>
            <w:noWrap/>
            <w:vAlign w:val="center"/>
            <w:hideMark/>
          </w:tcPr>
          <w:p w14:paraId="37BE40B8" w14:textId="77777777" w:rsidR="008A1E93" w:rsidRPr="008A1E93" w:rsidRDefault="008A1E93" w:rsidP="008A1E93">
            <w:pPr>
              <w:spacing w:after="0" w:line="240" w:lineRule="auto"/>
              <w:rPr>
                <w:rFonts w:ascii="Times New Roman" w:eastAsia="Times New Roman" w:hAnsi="Times New Roman"/>
                <w:sz w:val="18"/>
                <w:szCs w:val="18"/>
              </w:rPr>
            </w:pPr>
            <w:r>
              <w:rPr>
                <w:rFonts w:ascii="Times New Roman" w:hAnsi="Times New Roman"/>
                <w:sz w:val="18"/>
              </w:rPr>
              <w:t>Transport, storage and mail</w:t>
            </w:r>
          </w:p>
        </w:tc>
        <w:tc>
          <w:tcPr>
            <w:tcW w:w="3214" w:type="pct"/>
            <w:tcBorders>
              <w:top w:val="single" w:sz="4" w:space="0" w:color="auto"/>
              <w:bottom w:val="single" w:sz="4" w:space="0" w:color="auto"/>
              <w:right w:val="nil"/>
            </w:tcBorders>
            <w:noWrap/>
            <w:vAlign w:val="center"/>
            <w:hideMark/>
          </w:tcPr>
          <w:p w14:paraId="18C5AB30" w14:textId="77777777" w:rsidR="008A1E93" w:rsidRPr="008A1E93" w:rsidRDefault="008A1E93" w:rsidP="008A1E93">
            <w:pPr>
              <w:spacing w:after="0" w:line="240" w:lineRule="auto"/>
              <w:rPr>
                <w:rFonts w:ascii="Times New Roman" w:eastAsia="Times New Roman" w:hAnsi="Times New Roman"/>
                <w:sz w:val="18"/>
                <w:szCs w:val="18"/>
              </w:rPr>
            </w:pPr>
            <w:r>
              <w:rPr>
                <w:rFonts w:ascii="Times New Roman" w:hAnsi="Times New Roman"/>
                <w:sz w:val="18"/>
              </w:rPr>
              <w:t>Land transport</w:t>
            </w:r>
          </w:p>
        </w:tc>
      </w:tr>
      <w:tr w:rsidR="008A1E93" w:rsidRPr="008A1E93" w14:paraId="3302BF10" w14:textId="77777777" w:rsidTr="00385866">
        <w:trPr>
          <w:jc w:val="center"/>
        </w:trPr>
        <w:tc>
          <w:tcPr>
            <w:tcW w:w="1786" w:type="pct"/>
            <w:vMerge/>
            <w:vAlign w:val="center"/>
            <w:hideMark/>
          </w:tcPr>
          <w:p w14:paraId="5D970F76" w14:textId="77777777" w:rsidR="008A1E93" w:rsidRPr="008A1E93" w:rsidRDefault="008A1E93" w:rsidP="008A1E93">
            <w:pPr>
              <w:spacing w:after="0" w:line="240" w:lineRule="auto"/>
              <w:rPr>
                <w:rFonts w:ascii="Times New Roman" w:eastAsia="Times New Roman" w:hAnsi="Times New Roman"/>
                <w:sz w:val="18"/>
                <w:szCs w:val="18"/>
                <w:lang w:val="pt-BR"/>
              </w:rPr>
            </w:pPr>
          </w:p>
        </w:tc>
        <w:tc>
          <w:tcPr>
            <w:tcW w:w="3214" w:type="pct"/>
            <w:tcBorders>
              <w:top w:val="single" w:sz="4" w:space="0" w:color="auto"/>
              <w:bottom w:val="single" w:sz="4" w:space="0" w:color="auto"/>
              <w:right w:val="nil"/>
            </w:tcBorders>
            <w:noWrap/>
            <w:vAlign w:val="center"/>
            <w:hideMark/>
          </w:tcPr>
          <w:p w14:paraId="07390F0B" w14:textId="77777777" w:rsidR="008A1E93" w:rsidRPr="008A1E93" w:rsidRDefault="008A1E93" w:rsidP="008A1E93">
            <w:pPr>
              <w:spacing w:after="0" w:line="240" w:lineRule="auto"/>
              <w:rPr>
                <w:rFonts w:ascii="Times New Roman" w:eastAsia="Times New Roman" w:hAnsi="Times New Roman"/>
                <w:sz w:val="18"/>
                <w:szCs w:val="18"/>
              </w:rPr>
            </w:pPr>
            <w:r>
              <w:rPr>
                <w:rFonts w:ascii="Times New Roman" w:hAnsi="Times New Roman"/>
                <w:sz w:val="18"/>
              </w:rPr>
              <w:t>Water transport</w:t>
            </w:r>
          </w:p>
        </w:tc>
      </w:tr>
      <w:tr w:rsidR="008A1E93" w:rsidRPr="008A1E93" w14:paraId="6A58ADAA" w14:textId="77777777" w:rsidTr="00385866">
        <w:trPr>
          <w:jc w:val="center"/>
        </w:trPr>
        <w:tc>
          <w:tcPr>
            <w:tcW w:w="1786" w:type="pct"/>
            <w:vMerge/>
            <w:vAlign w:val="center"/>
            <w:hideMark/>
          </w:tcPr>
          <w:p w14:paraId="0B6886C8" w14:textId="77777777" w:rsidR="008A1E93" w:rsidRPr="008A1E93" w:rsidRDefault="008A1E93" w:rsidP="008A1E93">
            <w:pPr>
              <w:spacing w:after="0" w:line="240" w:lineRule="auto"/>
              <w:rPr>
                <w:rFonts w:ascii="Times New Roman" w:eastAsia="Times New Roman" w:hAnsi="Times New Roman"/>
                <w:sz w:val="18"/>
                <w:szCs w:val="18"/>
                <w:lang w:val="pt-BR"/>
              </w:rPr>
            </w:pPr>
          </w:p>
        </w:tc>
        <w:tc>
          <w:tcPr>
            <w:tcW w:w="3214" w:type="pct"/>
            <w:tcBorders>
              <w:top w:val="single" w:sz="4" w:space="0" w:color="auto"/>
              <w:bottom w:val="single" w:sz="4" w:space="0" w:color="auto"/>
              <w:right w:val="nil"/>
            </w:tcBorders>
            <w:noWrap/>
            <w:vAlign w:val="center"/>
            <w:hideMark/>
          </w:tcPr>
          <w:p w14:paraId="44076273" w14:textId="77777777" w:rsidR="008A1E93" w:rsidRPr="008A1E93" w:rsidRDefault="008A1E93" w:rsidP="008A1E93">
            <w:pPr>
              <w:spacing w:after="0" w:line="240" w:lineRule="auto"/>
              <w:rPr>
                <w:rFonts w:ascii="Times New Roman" w:eastAsia="Times New Roman" w:hAnsi="Times New Roman"/>
                <w:sz w:val="18"/>
                <w:szCs w:val="18"/>
              </w:rPr>
            </w:pPr>
            <w:r>
              <w:rPr>
                <w:rFonts w:ascii="Times New Roman" w:hAnsi="Times New Roman"/>
                <w:sz w:val="18"/>
              </w:rPr>
              <w:t>Air transport</w:t>
            </w:r>
          </w:p>
        </w:tc>
      </w:tr>
      <w:tr w:rsidR="008A1E93" w:rsidRPr="008A1E93" w14:paraId="0495F46B" w14:textId="77777777" w:rsidTr="00385866">
        <w:trPr>
          <w:jc w:val="center"/>
        </w:trPr>
        <w:tc>
          <w:tcPr>
            <w:tcW w:w="1786" w:type="pct"/>
            <w:vMerge/>
            <w:vAlign w:val="center"/>
            <w:hideMark/>
          </w:tcPr>
          <w:p w14:paraId="670B556E" w14:textId="77777777" w:rsidR="008A1E93" w:rsidRPr="008A1E93" w:rsidRDefault="008A1E93" w:rsidP="008A1E93">
            <w:pPr>
              <w:spacing w:after="0" w:line="240" w:lineRule="auto"/>
              <w:rPr>
                <w:rFonts w:ascii="Times New Roman" w:eastAsia="Times New Roman" w:hAnsi="Times New Roman"/>
                <w:sz w:val="18"/>
                <w:szCs w:val="18"/>
                <w:lang w:val="pt-BR"/>
              </w:rPr>
            </w:pPr>
          </w:p>
        </w:tc>
        <w:tc>
          <w:tcPr>
            <w:tcW w:w="3214" w:type="pct"/>
            <w:tcBorders>
              <w:top w:val="single" w:sz="4" w:space="0" w:color="auto"/>
              <w:bottom w:val="single" w:sz="4" w:space="0" w:color="auto"/>
              <w:right w:val="nil"/>
            </w:tcBorders>
            <w:noWrap/>
            <w:vAlign w:val="center"/>
            <w:hideMark/>
          </w:tcPr>
          <w:p w14:paraId="38D954C6" w14:textId="77777777" w:rsidR="008A1E93" w:rsidRPr="008A1E93" w:rsidRDefault="008A1E93" w:rsidP="008A1E93">
            <w:pPr>
              <w:spacing w:after="0" w:line="240" w:lineRule="auto"/>
              <w:rPr>
                <w:rFonts w:ascii="Times New Roman" w:eastAsia="Times New Roman" w:hAnsi="Times New Roman"/>
                <w:sz w:val="18"/>
                <w:szCs w:val="18"/>
              </w:rPr>
            </w:pPr>
            <w:r>
              <w:rPr>
                <w:rFonts w:ascii="Times New Roman" w:hAnsi="Times New Roman"/>
                <w:sz w:val="18"/>
              </w:rPr>
              <w:t>Storage, auxiliary transport and mail activities</w:t>
            </w:r>
          </w:p>
        </w:tc>
      </w:tr>
      <w:tr w:rsidR="008A1E93" w:rsidRPr="008A1E93" w14:paraId="42270AA9" w14:textId="77777777" w:rsidTr="00385866">
        <w:trPr>
          <w:jc w:val="center"/>
        </w:trPr>
        <w:tc>
          <w:tcPr>
            <w:tcW w:w="1786" w:type="pct"/>
            <w:vMerge w:val="restart"/>
            <w:noWrap/>
            <w:vAlign w:val="center"/>
            <w:hideMark/>
          </w:tcPr>
          <w:p w14:paraId="07CE611A" w14:textId="77777777" w:rsidR="008A1E93" w:rsidRPr="008A1E93" w:rsidRDefault="008A1E93" w:rsidP="008A1E93">
            <w:pPr>
              <w:spacing w:after="0" w:line="240" w:lineRule="auto"/>
              <w:rPr>
                <w:rFonts w:ascii="Times New Roman" w:eastAsia="Times New Roman" w:hAnsi="Times New Roman"/>
                <w:sz w:val="18"/>
                <w:szCs w:val="18"/>
              </w:rPr>
            </w:pPr>
            <w:r>
              <w:rPr>
                <w:rFonts w:ascii="Times New Roman" w:hAnsi="Times New Roman"/>
                <w:sz w:val="18"/>
              </w:rPr>
              <w:t>Accommodation and food</w:t>
            </w:r>
          </w:p>
        </w:tc>
        <w:tc>
          <w:tcPr>
            <w:tcW w:w="3214" w:type="pct"/>
            <w:tcBorders>
              <w:top w:val="single" w:sz="4" w:space="0" w:color="auto"/>
              <w:bottom w:val="single" w:sz="4" w:space="0" w:color="auto"/>
              <w:right w:val="nil"/>
            </w:tcBorders>
            <w:noWrap/>
            <w:vAlign w:val="center"/>
            <w:hideMark/>
          </w:tcPr>
          <w:p w14:paraId="136FC6B7" w14:textId="77777777" w:rsidR="008A1E93" w:rsidRPr="008A1E93" w:rsidRDefault="008A1E93" w:rsidP="008A1E93">
            <w:pPr>
              <w:spacing w:after="0" w:line="240" w:lineRule="auto"/>
              <w:rPr>
                <w:rFonts w:ascii="Times New Roman" w:eastAsia="Times New Roman" w:hAnsi="Times New Roman"/>
                <w:sz w:val="18"/>
                <w:szCs w:val="18"/>
              </w:rPr>
            </w:pPr>
            <w:r>
              <w:rPr>
                <w:rFonts w:ascii="Times New Roman" w:hAnsi="Times New Roman"/>
                <w:sz w:val="18"/>
              </w:rPr>
              <w:t>Accommodation</w:t>
            </w:r>
          </w:p>
        </w:tc>
      </w:tr>
      <w:tr w:rsidR="008A1E93" w:rsidRPr="008A1E93" w14:paraId="0FA9208B" w14:textId="77777777" w:rsidTr="00385866">
        <w:trPr>
          <w:jc w:val="center"/>
        </w:trPr>
        <w:tc>
          <w:tcPr>
            <w:tcW w:w="1786" w:type="pct"/>
            <w:vMerge/>
            <w:vAlign w:val="center"/>
            <w:hideMark/>
          </w:tcPr>
          <w:p w14:paraId="6ED0C75D" w14:textId="77777777" w:rsidR="008A1E93" w:rsidRPr="008A1E93" w:rsidRDefault="008A1E93" w:rsidP="008A1E93">
            <w:pPr>
              <w:spacing w:after="0" w:line="240" w:lineRule="auto"/>
              <w:rPr>
                <w:rFonts w:ascii="Times New Roman" w:eastAsia="Times New Roman" w:hAnsi="Times New Roman"/>
                <w:sz w:val="18"/>
                <w:szCs w:val="18"/>
                <w:lang w:val="pt-BR"/>
              </w:rPr>
            </w:pPr>
          </w:p>
        </w:tc>
        <w:tc>
          <w:tcPr>
            <w:tcW w:w="3214" w:type="pct"/>
            <w:tcBorders>
              <w:top w:val="single" w:sz="4" w:space="0" w:color="auto"/>
              <w:bottom w:val="single" w:sz="4" w:space="0" w:color="auto"/>
              <w:right w:val="nil"/>
            </w:tcBorders>
            <w:noWrap/>
            <w:vAlign w:val="center"/>
            <w:hideMark/>
          </w:tcPr>
          <w:p w14:paraId="5A7D300C" w14:textId="77777777" w:rsidR="008A1E93" w:rsidRPr="008A1E93" w:rsidRDefault="008A1E93" w:rsidP="008A1E93">
            <w:pPr>
              <w:spacing w:after="0" w:line="240" w:lineRule="auto"/>
              <w:rPr>
                <w:rFonts w:ascii="Times New Roman" w:eastAsia="Times New Roman" w:hAnsi="Times New Roman"/>
                <w:sz w:val="18"/>
                <w:szCs w:val="18"/>
              </w:rPr>
            </w:pPr>
            <w:r>
              <w:rPr>
                <w:rFonts w:ascii="Times New Roman" w:hAnsi="Times New Roman"/>
                <w:sz w:val="18"/>
              </w:rPr>
              <w:t>Food</w:t>
            </w:r>
          </w:p>
        </w:tc>
      </w:tr>
      <w:tr w:rsidR="008A1E93" w:rsidRPr="008A1E93" w14:paraId="34FEBE94" w14:textId="77777777" w:rsidTr="00385866">
        <w:trPr>
          <w:jc w:val="center"/>
        </w:trPr>
        <w:tc>
          <w:tcPr>
            <w:tcW w:w="1786" w:type="pct"/>
            <w:vMerge w:val="restart"/>
            <w:noWrap/>
            <w:vAlign w:val="center"/>
            <w:hideMark/>
          </w:tcPr>
          <w:p w14:paraId="6652225A" w14:textId="77777777" w:rsidR="008A1E93" w:rsidRPr="008A1E93" w:rsidRDefault="008A1E93" w:rsidP="008A1E93">
            <w:pPr>
              <w:spacing w:after="0" w:line="240" w:lineRule="auto"/>
              <w:rPr>
                <w:rFonts w:ascii="Times New Roman" w:eastAsia="Times New Roman" w:hAnsi="Times New Roman"/>
                <w:sz w:val="18"/>
                <w:szCs w:val="18"/>
              </w:rPr>
            </w:pPr>
            <w:r>
              <w:rPr>
                <w:rFonts w:ascii="Times New Roman" w:hAnsi="Times New Roman"/>
                <w:sz w:val="18"/>
              </w:rPr>
              <w:t>Information and communication</w:t>
            </w:r>
          </w:p>
        </w:tc>
        <w:tc>
          <w:tcPr>
            <w:tcW w:w="3214" w:type="pct"/>
            <w:tcBorders>
              <w:top w:val="single" w:sz="4" w:space="0" w:color="auto"/>
              <w:bottom w:val="single" w:sz="4" w:space="0" w:color="auto"/>
              <w:right w:val="nil"/>
            </w:tcBorders>
            <w:noWrap/>
            <w:vAlign w:val="center"/>
            <w:hideMark/>
          </w:tcPr>
          <w:p w14:paraId="77FCB6D3" w14:textId="77777777" w:rsidR="008A1E93" w:rsidRPr="008A1E93" w:rsidRDefault="008A1E93" w:rsidP="008A1E93">
            <w:pPr>
              <w:spacing w:after="0" w:line="240" w:lineRule="auto"/>
              <w:rPr>
                <w:rFonts w:ascii="Times New Roman" w:eastAsia="Times New Roman" w:hAnsi="Times New Roman"/>
                <w:sz w:val="18"/>
                <w:szCs w:val="18"/>
              </w:rPr>
            </w:pPr>
            <w:r>
              <w:rPr>
                <w:rFonts w:ascii="Times New Roman" w:hAnsi="Times New Roman"/>
                <w:sz w:val="18"/>
              </w:rPr>
              <w:t>Print-integrated publishing and editing</w:t>
            </w:r>
          </w:p>
        </w:tc>
      </w:tr>
      <w:tr w:rsidR="008A1E93" w:rsidRPr="008A1E93" w14:paraId="779B0C52" w14:textId="77777777" w:rsidTr="00385866">
        <w:trPr>
          <w:jc w:val="center"/>
        </w:trPr>
        <w:tc>
          <w:tcPr>
            <w:tcW w:w="1786" w:type="pct"/>
            <w:vMerge/>
            <w:vAlign w:val="center"/>
            <w:hideMark/>
          </w:tcPr>
          <w:p w14:paraId="2BE20C68" w14:textId="77777777" w:rsidR="008A1E93" w:rsidRPr="00522DCF" w:rsidRDefault="008A1E93" w:rsidP="008A1E93">
            <w:pPr>
              <w:spacing w:after="0" w:line="240" w:lineRule="auto"/>
              <w:rPr>
                <w:rFonts w:ascii="Times New Roman" w:eastAsia="Times New Roman" w:hAnsi="Times New Roman"/>
                <w:sz w:val="18"/>
                <w:szCs w:val="18"/>
              </w:rPr>
            </w:pPr>
          </w:p>
        </w:tc>
        <w:tc>
          <w:tcPr>
            <w:tcW w:w="3214" w:type="pct"/>
            <w:tcBorders>
              <w:top w:val="single" w:sz="4" w:space="0" w:color="auto"/>
              <w:bottom w:val="single" w:sz="4" w:space="0" w:color="auto"/>
              <w:right w:val="nil"/>
            </w:tcBorders>
            <w:noWrap/>
            <w:vAlign w:val="center"/>
            <w:hideMark/>
          </w:tcPr>
          <w:p w14:paraId="1A02C70D" w14:textId="77777777" w:rsidR="008A1E93" w:rsidRPr="008A1E93" w:rsidRDefault="008A1E93" w:rsidP="008A1E93">
            <w:pPr>
              <w:spacing w:after="0" w:line="240" w:lineRule="auto"/>
              <w:rPr>
                <w:rFonts w:ascii="Times New Roman" w:eastAsia="Times New Roman" w:hAnsi="Times New Roman"/>
                <w:sz w:val="18"/>
                <w:szCs w:val="18"/>
              </w:rPr>
            </w:pPr>
            <w:r>
              <w:rPr>
                <w:rFonts w:ascii="Times New Roman" w:hAnsi="Times New Roman"/>
                <w:sz w:val="18"/>
              </w:rPr>
              <w:t>Television, radio and cinema activities</w:t>
            </w:r>
          </w:p>
        </w:tc>
      </w:tr>
      <w:tr w:rsidR="008A1E93" w:rsidRPr="008A1E93" w14:paraId="13963300" w14:textId="77777777" w:rsidTr="00385866">
        <w:trPr>
          <w:jc w:val="center"/>
        </w:trPr>
        <w:tc>
          <w:tcPr>
            <w:tcW w:w="1786" w:type="pct"/>
            <w:vMerge/>
            <w:vAlign w:val="center"/>
            <w:hideMark/>
          </w:tcPr>
          <w:p w14:paraId="12349463" w14:textId="77777777" w:rsidR="008A1E93" w:rsidRPr="00522DCF" w:rsidRDefault="008A1E93" w:rsidP="008A1E93">
            <w:pPr>
              <w:spacing w:after="0" w:line="240" w:lineRule="auto"/>
              <w:rPr>
                <w:rFonts w:ascii="Times New Roman" w:eastAsia="Times New Roman" w:hAnsi="Times New Roman"/>
                <w:sz w:val="18"/>
                <w:szCs w:val="18"/>
              </w:rPr>
            </w:pPr>
          </w:p>
        </w:tc>
        <w:tc>
          <w:tcPr>
            <w:tcW w:w="3214" w:type="pct"/>
            <w:tcBorders>
              <w:top w:val="single" w:sz="4" w:space="0" w:color="auto"/>
              <w:bottom w:val="single" w:sz="4" w:space="0" w:color="auto"/>
              <w:right w:val="nil"/>
            </w:tcBorders>
            <w:noWrap/>
            <w:vAlign w:val="center"/>
            <w:hideMark/>
          </w:tcPr>
          <w:p w14:paraId="062D5157" w14:textId="77777777" w:rsidR="008A1E93" w:rsidRPr="008A1E93" w:rsidRDefault="008A1E93" w:rsidP="008A1E93">
            <w:pPr>
              <w:spacing w:after="0" w:line="240" w:lineRule="auto"/>
              <w:rPr>
                <w:rFonts w:ascii="Times New Roman" w:eastAsia="Times New Roman" w:hAnsi="Times New Roman"/>
                <w:sz w:val="18"/>
                <w:szCs w:val="18"/>
              </w:rPr>
            </w:pPr>
            <w:r>
              <w:rPr>
                <w:rFonts w:ascii="Times New Roman" w:hAnsi="Times New Roman"/>
                <w:sz w:val="18"/>
              </w:rPr>
              <w:t>Telecommunications</w:t>
            </w:r>
          </w:p>
        </w:tc>
      </w:tr>
      <w:tr w:rsidR="008A1E93" w:rsidRPr="008A1E93" w14:paraId="3CC4BE24" w14:textId="77777777" w:rsidTr="00385866">
        <w:trPr>
          <w:jc w:val="center"/>
        </w:trPr>
        <w:tc>
          <w:tcPr>
            <w:tcW w:w="1786" w:type="pct"/>
            <w:vMerge/>
            <w:vAlign w:val="center"/>
            <w:hideMark/>
          </w:tcPr>
          <w:p w14:paraId="042F49EA" w14:textId="77777777" w:rsidR="008A1E93" w:rsidRPr="008A1E93" w:rsidRDefault="008A1E93" w:rsidP="008A1E93">
            <w:pPr>
              <w:spacing w:after="0" w:line="240" w:lineRule="auto"/>
              <w:rPr>
                <w:rFonts w:ascii="Times New Roman" w:eastAsia="Times New Roman" w:hAnsi="Times New Roman"/>
                <w:sz w:val="18"/>
                <w:szCs w:val="18"/>
                <w:lang w:val="pt-BR"/>
              </w:rPr>
            </w:pPr>
          </w:p>
        </w:tc>
        <w:tc>
          <w:tcPr>
            <w:tcW w:w="3214" w:type="pct"/>
            <w:tcBorders>
              <w:top w:val="single" w:sz="4" w:space="0" w:color="auto"/>
              <w:bottom w:val="single" w:sz="4" w:space="0" w:color="auto"/>
              <w:right w:val="nil"/>
            </w:tcBorders>
            <w:noWrap/>
            <w:vAlign w:val="center"/>
            <w:hideMark/>
          </w:tcPr>
          <w:p w14:paraId="2533515A" w14:textId="77777777" w:rsidR="008A1E93" w:rsidRPr="008A1E93" w:rsidRDefault="008A1E93" w:rsidP="008A1E93">
            <w:pPr>
              <w:spacing w:after="0" w:line="240" w:lineRule="auto"/>
              <w:rPr>
                <w:rFonts w:ascii="Times New Roman" w:eastAsia="Times New Roman" w:hAnsi="Times New Roman"/>
                <w:sz w:val="18"/>
                <w:szCs w:val="18"/>
              </w:rPr>
            </w:pPr>
            <w:r>
              <w:rPr>
                <w:rFonts w:ascii="Times New Roman" w:hAnsi="Times New Roman"/>
                <w:sz w:val="18"/>
              </w:rPr>
              <w:t>Development of systems and other information services</w:t>
            </w:r>
          </w:p>
        </w:tc>
      </w:tr>
      <w:tr w:rsidR="008A1E93" w:rsidRPr="008A1E93" w14:paraId="673C86AD" w14:textId="77777777" w:rsidTr="00385866">
        <w:trPr>
          <w:jc w:val="center"/>
        </w:trPr>
        <w:tc>
          <w:tcPr>
            <w:tcW w:w="1786" w:type="pct"/>
            <w:noWrap/>
            <w:vAlign w:val="center"/>
            <w:hideMark/>
          </w:tcPr>
          <w:p w14:paraId="62BF39C0" w14:textId="77777777" w:rsidR="008A1E93" w:rsidRPr="008A1E93" w:rsidRDefault="008A1E93" w:rsidP="008A1E93">
            <w:pPr>
              <w:spacing w:after="0" w:line="240" w:lineRule="auto"/>
              <w:rPr>
                <w:rFonts w:ascii="Times New Roman" w:eastAsia="Times New Roman" w:hAnsi="Times New Roman"/>
                <w:sz w:val="18"/>
                <w:szCs w:val="18"/>
              </w:rPr>
            </w:pPr>
            <w:r>
              <w:rPr>
                <w:rFonts w:ascii="Times New Roman" w:hAnsi="Times New Roman"/>
                <w:sz w:val="18"/>
              </w:rPr>
              <w:t>Financial, insurance activities</w:t>
            </w:r>
          </w:p>
        </w:tc>
        <w:tc>
          <w:tcPr>
            <w:tcW w:w="3214" w:type="pct"/>
            <w:tcBorders>
              <w:top w:val="single" w:sz="4" w:space="0" w:color="auto"/>
              <w:bottom w:val="single" w:sz="4" w:space="0" w:color="auto"/>
              <w:right w:val="nil"/>
            </w:tcBorders>
            <w:noWrap/>
            <w:vAlign w:val="center"/>
            <w:hideMark/>
          </w:tcPr>
          <w:p w14:paraId="5D177050" w14:textId="77777777" w:rsidR="008A1E93" w:rsidRPr="008A1E93" w:rsidRDefault="008A1E93" w:rsidP="008A1E93">
            <w:pPr>
              <w:spacing w:after="0" w:line="240" w:lineRule="auto"/>
              <w:rPr>
                <w:rFonts w:ascii="Times New Roman" w:eastAsia="Times New Roman" w:hAnsi="Times New Roman"/>
                <w:sz w:val="18"/>
                <w:szCs w:val="18"/>
              </w:rPr>
            </w:pPr>
            <w:r>
              <w:rPr>
                <w:rFonts w:ascii="Times New Roman" w:hAnsi="Times New Roman"/>
                <w:sz w:val="18"/>
              </w:rPr>
              <w:t xml:space="preserve">Financial intermediation, insurance and pensions </w:t>
            </w:r>
          </w:p>
        </w:tc>
      </w:tr>
      <w:tr w:rsidR="008A1E93" w:rsidRPr="008A1E93" w14:paraId="1E406582" w14:textId="77777777" w:rsidTr="00385866">
        <w:trPr>
          <w:jc w:val="center"/>
        </w:trPr>
        <w:tc>
          <w:tcPr>
            <w:tcW w:w="1786" w:type="pct"/>
            <w:noWrap/>
            <w:vAlign w:val="center"/>
            <w:hideMark/>
          </w:tcPr>
          <w:p w14:paraId="18077DFB" w14:textId="77777777" w:rsidR="008A1E93" w:rsidRPr="008A1E93" w:rsidRDefault="008A1E93" w:rsidP="008A1E93">
            <w:pPr>
              <w:spacing w:after="0" w:line="240" w:lineRule="auto"/>
              <w:rPr>
                <w:rFonts w:ascii="Times New Roman" w:eastAsia="Times New Roman" w:hAnsi="Times New Roman"/>
                <w:sz w:val="18"/>
                <w:szCs w:val="18"/>
              </w:rPr>
            </w:pPr>
            <w:r>
              <w:rPr>
                <w:rFonts w:ascii="Times New Roman" w:hAnsi="Times New Roman"/>
                <w:sz w:val="18"/>
              </w:rPr>
              <w:t>Real estate activities</w:t>
            </w:r>
          </w:p>
        </w:tc>
        <w:tc>
          <w:tcPr>
            <w:tcW w:w="3214" w:type="pct"/>
            <w:tcBorders>
              <w:top w:val="single" w:sz="4" w:space="0" w:color="auto"/>
              <w:bottom w:val="single" w:sz="4" w:space="0" w:color="auto"/>
              <w:right w:val="nil"/>
            </w:tcBorders>
            <w:noWrap/>
            <w:vAlign w:val="center"/>
            <w:hideMark/>
          </w:tcPr>
          <w:p w14:paraId="7278C592" w14:textId="77777777" w:rsidR="008A1E93" w:rsidRPr="008A1E93" w:rsidRDefault="008A1E93" w:rsidP="008A1E93">
            <w:pPr>
              <w:spacing w:after="0" w:line="240" w:lineRule="auto"/>
              <w:rPr>
                <w:rFonts w:ascii="Times New Roman" w:eastAsia="Times New Roman" w:hAnsi="Times New Roman"/>
                <w:sz w:val="18"/>
                <w:szCs w:val="18"/>
              </w:rPr>
            </w:pPr>
            <w:r>
              <w:rPr>
                <w:rFonts w:ascii="Times New Roman" w:hAnsi="Times New Roman"/>
                <w:sz w:val="18"/>
              </w:rPr>
              <w:t>Real estate activities</w:t>
            </w:r>
          </w:p>
        </w:tc>
      </w:tr>
      <w:tr w:rsidR="008A1E93" w:rsidRPr="008A1E93" w14:paraId="15630E3C" w14:textId="77777777" w:rsidTr="00385866">
        <w:trPr>
          <w:jc w:val="center"/>
        </w:trPr>
        <w:tc>
          <w:tcPr>
            <w:tcW w:w="1786" w:type="pct"/>
            <w:vMerge w:val="restart"/>
            <w:noWrap/>
            <w:vAlign w:val="center"/>
            <w:hideMark/>
          </w:tcPr>
          <w:p w14:paraId="2782DC42" w14:textId="77777777" w:rsidR="008A1E93" w:rsidRPr="008A1E93" w:rsidRDefault="008A1E93" w:rsidP="008A1E93">
            <w:pPr>
              <w:spacing w:after="0" w:line="240" w:lineRule="auto"/>
              <w:rPr>
                <w:rFonts w:ascii="Times New Roman" w:eastAsia="Times New Roman" w:hAnsi="Times New Roman"/>
                <w:sz w:val="18"/>
                <w:szCs w:val="18"/>
              </w:rPr>
            </w:pPr>
            <w:r>
              <w:rPr>
                <w:rFonts w:ascii="Times New Roman" w:hAnsi="Times New Roman"/>
                <w:sz w:val="18"/>
              </w:rPr>
              <w:t>Services provided to companies</w:t>
            </w:r>
          </w:p>
        </w:tc>
        <w:tc>
          <w:tcPr>
            <w:tcW w:w="3214" w:type="pct"/>
            <w:tcBorders>
              <w:top w:val="single" w:sz="4" w:space="0" w:color="auto"/>
              <w:bottom w:val="single" w:sz="4" w:space="0" w:color="auto"/>
              <w:right w:val="nil"/>
            </w:tcBorders>
            <w:noWrap/>
            <w:vAlign w:val="center"/>
            <w:hideMark/>
          </w:tcPr>
          <w:p w14:paraId="62489402" w14:textId="77777777" w:rsidR="008A1E93" w:rsidRPr="008A1E93" w:rsidRDefault="008A1E93" w:rsidP="008A1E93">
            <w:pPr>
              <w:spacing w:after="0" w:line="240" w:lineRule="auto"/>
              <w:rPr>
                <w:rFonts w:ascii="Times New Roman" w:eastAsia="Times New Roman" w:hAnsi="Times New Roman"/>
                <w:sz w:val="18"/>
                <w:szCs w:val="18"/>
              </w:rPr>
            </w:pPr>
            <w:r>
              <w:rPr>
                <w:rFonts w:ascii="Times New Roman" w:hAnsi="Times New Roman"/>
                <w:sz w:val="18"/>
              </w:rPr>
              <w:t>Legal, accounting, consultancy activities, etc.</w:t>
            </w:r>
          </w:p>
        </w:tc>
      </w:tr>
      <w:tr w:rsidR="008A1E93" w:rsidRPr="008A1E93" w14:paraId="4BC538F3" w14:textId="77777777" w:rsidTr="00385866">
        <w:trPr>
          <w:jc w:val="center"/>
        </w:trPr>
        <w:tc>
          <w:tcPr>
            <w:tcW w:w="1786" w:type="pct"/>
            <w:vMerge/>
            <w:vAlign w:val="center"/>
            <w:hideMark/>
          </w:tcPr>
          <w:p w14:paraId="1425D0CB" w14:textId="77777777" w:rsidR="008A1E93" w:rsidRPr="00522DCF" w:rsidRDefault="008A1E93" w:rsidP="008A1E93">
            <w:pPr>
              <w:spacing w:after="0" w:line="240" w:lineRule="auto"/>
              <w:rPr>
                <w:rFonts w:ascii="Times New Roman" w:eastAsia="Times New Roman" w:hAnsi="Times New Roman"/>
                <w:sz w:val="18"/>
                <w:szCs w:val="18"/>
              </w:rPr>
            </w:pPr>
          </w:p>
        </w:tc>
        <w:tc>
          <w:tcPr>
            <w:tcW w:w="3214" w:type="pct"/>
            <w:tcBorders>
              <w:top w:val="single" w:sz="4" w:space="0" w:color="auto"/>
              <w:bottom w:val="single" w:sz="4" w:space="0" w:color="auto"/>
              <w:right w:val="nil"/>
            </w:tcBorders>
            <w:noWrap/>
            <w:vAlign w:val="center"/>
            <w:hideMark/>
          </w:tcPr>
          <w:p w14:paraId="09C7A9AE" w14:textId="77777777" w:rsidR="008A1E93" w:rsidRPr="008A1E93" w:rsidRDefault="008A1E93" w:rsidP="008A1E93">
            <w:pPr>
              <w:spacing w:after="0" w:line="240" w:lineRule="auto"/>
              <w:rPr>
                <w:rFonts w:ascii="Times New Roman" w:eastAsia="Times New Roman" w:hAnsi="Times New Roman"/>
                <w:sz w:val="18"/>
                <w:szCs w:val="18"/>
              </w:rPr>
            </w:pPr>
            <w:r>
              <w:rPr>
                <w:rFonts w:ascii="Times New Roman" w:hAnsi="Times New Roman"/>
                <w:sz w:val="18"/>
              </w:rPr>
              <w:t>Architecture, engineering and R&amp;D services</w:t>
            </w:r>
          </w:p>
        </w:tc>
      </w:tr>
      <w:tr w:rsidR="008A1E93" w:rsidRPr="008A1E93" w14:paraId="64FC09ED" w14:textId="77777777" w:rsidTr="00385866">
        <w:trPr>
          <w:jc w:val="center"/>
        </w:trPr>
        <w:tc>
          <w:tcPr>
            <w:tcW w:w="1786" w:type="pct"/>
            <w:vMerge/>
            <w:vAlign w:val="center"/>
            <w:hideMark/>
          </w:tcPr>
          <w:p w14:paraId="682699B7" w14:textId="77777777" w:rsidR="008A1E93" w:rsidRPr="00522DCF" w:rsidRDefault="008A1E93" w:rsidP="008A1E93">
            <w:pPr>
              <w:spacing w:after="0" w:line="240" w:lineRule="auto"/>
              <w:rPr>
                <w:rFonts w:ascii="Times New Roman" w:eastAsia="Times New Roman" w:hAnsi="Times New Roman"/>
                <w:sz w:val="18"/>
                <w:szCs w:val="18"/>
              </w:rPr>
            </w:pPr>
          </w:p>
        </w:tc>
        <w:tc>
          <w:tcPr>
            <w:tcW w:w="3214" w:type="pct"/>
            <w:tcBorders>
              <w:top w:val="single" w:sz="4" w:space="0" w:color="auto"/>
              <w:bottom w:val="single" w:sz="4" w:space="0" w:color="auto"/>
              <w:right w:val="nil"/>
            </w:tcBorders>
            <w:noWrap/>
            <w:vAlign w:val="center"/>
            <w:hideMark/>
          </w:tcPr>
          <w:p w14:paraId="2BE400B6" w14:textId="77777777" w:rsidR="008A1E93" w:rsidRPr="008A1E93" w:rsidRDefault="008A1E93" w:rsidP="008A1E93">
            <w:pPr>
              <w:spacing w:after="0" w:line="240" w:lineRule="auto"/>
              <w:rPr>
                <w:rFonts w:ascii="Times New Roman" w:eastAsia="Times New Roman" w:hAnsi="Times New Roman"/>
                <w:sz w:val="18"/>
                <w:szCs w:val="18"/>
              </w:rPr>
            </w:pPr>
            <w:r>
              <w:rPr>
                <w:rFonts w:ascii="Times New Roman" w:hAnsi="Times New Roman"/>
                <w:sz w:val="18"/>
              </w:rPr>
              <w:t>Other professional, scientific and technical activities</w:t>
            </w:r>
          </w:p>
        </w:tc>
      </w:tr>
      <w:tr w:rsidR="008A1E93" w:rsidRPr="008A1E93" w14:paraId="515C27C5" w14:textId="77777777" w:rsidTr="00385866">
        <w:trPr>
          <w:jc w:val="center"/>
        </w:trPr>
        <w:tc>
          <w:tcPr>
            <w:tcW w:w="1786" w:type="pct"/>
            <w:vMerge/>
            <w:vAlign w:val="center"/>
            <w:hideMark/>
          </w:tcPr>
          <w:p w14:paraId="3415B1B3" w14:textId="77777777" w:rsidR="008A1E93" w:rsidRPr="00522DCF" w:rsidRDefault="008A1E93" w:rsidP="008A1E93">
            <w:pPr>
              <w:spacing w:after="0" w:line="240" w:lineRule="auto"/>
              <w:rPr>
                <w:rFonts w:ascii="Times New Roman" w:eastAsia="Times New Roman" w:hAnsi="Times New Roman"/>
                <w:sz w:val="18"/>
                <w:szCs w:val="18"/>
              </w:rPr>
            </w:pPr>
          </w:p>
        </w:tc>
        <w:tc>
          <w:tcPr>
            <w:tcW w:w="3214" w:type="pct"/>
            <w:tcBorders>
              <w:top w:val="single" w:sz="4" w:space="0" w:color="auto"/>
              <w:bottom w:val="single" w:sz="4" w:space="0" w:color="auto"/>
              <w:right w:val="nil"/>
            </w:tcBorders>
            <w:noWrap/>
            <w:vAlign w:val="center"/>
            <w:hideMark/>
          </w:tcPr>
          <w:p w14:paraId="3F4EE962" w14:textId="77777777" w:rsidR="008A1E93" w:rsidRPr="008A1E93" w:rsidRDefault="008A1E93" w:rsidP="008A1E93">
            <w:pPr>
              <w:spacing w:after="0" w:line="240" w:lineRule="auto"/>
              <w:rPr>
                <w:rFonts w:ascii="Times New Roman" w:eastAsia="Times New Roman" w:hAnsi="Times New Roman"/>
                <w:sz w:val="18"/>
                <w:szCs w:val="18"/>
              </w:rPr>
            </w:pPr>
            <w:r>
              <w:rPr>
                <w:rFonts w:ascii="Times New Roman" w:hAnsi="Times New Roman"/>
                <w:sz w:val="18"/>
              </w:rPr>
              <w:t>Non-real estate rentals and intellectual property asset management</w:t>
            </w:r>
          </w:p>
        </w:tc>
      </w:tr>
      <w:tr w:rsidR="008A1E93" w:rsidRPr="008A1E93" w14:paraId="5EDD89C2" w14:textId="77777777" w:rsidTr="00385866">
        <w:trPr>
          <w:jc w:val="center"/>
        </w:trPr>
        <w:tc>
          <w:tcPr>
            <w:tcW w:w="1786" w:type="pct"/>
            <w:vMerge/>
            <w:vAlign w:val="center"/>
            <w:hideMark/>
          </w:tcPr>
          <w:p w14:paraId="576EA23B" w14:textId="77777777" w:rsidR="008A1E93" w:rsidRPr="00522DCF" w:rsidRDefault="008A1E93" w:rsidP="008A1E93">
            <w:pPr>
              <w:spacing w:after="0" w:line="240" w:lineRule="auto"/>
              <w:rPr>
                <w:rFonts w:ascii="Times New Roman" w:eastAsia="Times New Roman" w:hAnsi="Times New Roman"/>
                <w:sz w:val="18"/>
                <w:szCs w:val="18"/>
              </w:rPr>
            </w:pPr>
          </w:p>
        </w:tc>
        <w:tc>
          <w:tcPr>
            <w:tcW w:w="3214" w:type="pct"/>
            <w:tcBorders>
              <w:top w:val="single" w:sz="4" w:space="0" w:color="auto"/>
              <w:bottom w:val="single" w:sz="4" w:space="0" w:color="auto"/>
              <w:right w:val="nil"/>
            </w:tcBorders>
            <w:noWrap/>
            <w:vAlign w:val="center"/>
            <w:hideMark/>
          </w:tcPr>
          <w:p w14:paraId="4A52A054" w14:textId="77777777" w:rsidR="008A1E93" w:rsidRPr="008A1E93" w:rsidRDefault="008A1E93" w:rsidP="008A1E93">
            <w:pPr>
              <w:spacing w:after="0" w:line="240" w:lineRule="auto"/>
              <w:rPr>
                <w:rFonts w:ascii="Times New Roman" w:eastAsia="Times New Roman" w:hAnsi="Times New Roman"/>
                <w:sz w:val="18"/>
                <w:szCs w:val="18"/>
              </w:rPr>
            </w:pPr>
            <w:r>
              <w:rPr>
                <w:rFonts w:ascii="Times New Roman" w:hAnsi="Times New Roman"/>
                <w:sz w:val="18"/>
              </w:rPr>
              <w:t>Other administrative activities and complementary services</w:t>
            </w:r>
          </w:p>
        </w:tc>
      </w:tr>
      <w:tr w:rsidR="008A1E93" w:rsidRPr="008A1E93" w14:paraId="660D939B" w14:textId="77777777" w:rsidTr="00385866">
        <w:trPr>
          <w:jc w:val="center"/>
        </w:trPr>
        <w:tc>
          <w:tcPr>
            <w:tcW w:w="1786" w:type="pct"/>
            <w:vMerge/>
            <w:vAlign w:val="center"/>
            <w:hideMark/>
          </w:tcPr>
          <w:p w14:paraId="73FAD01C" w14:textId="77777777" w:rsidR="008A1E93" w:rsidRPr="00522DCF" w:rsidRDefault="008A1E93" w:rsidP="008A1E93">
            <w:pPr>
              <w:spacing w:after="0" w:line="240" w:lineRule="auto"/>
              <w:rPr>
                <w:rFonts w:ascii="Times New Roman" w:eastAsia="Times New Roman" w:hAnsi="Times New Roman"/>
                <w:sz w:val="18"/>
                <w:szCs w:val="18"/>
              </w:rPr>
            </w:pPr>
          </w:p>
        </w:tc>
        <w:tc>
          <w:tcPr>
            <w:tcW w:w="3214" w:type="pct"/>
            <w:tcBorders>
              <w:top w:val="single" w:sz="4" w:space="0" w:color="auto"/>
              <w:bottom w:val="single" w:sz="4" w:space="0" w:color="auto"/>
              <w:right w:val="nil"/>
            </w:tcBorders>
            <w:noWrap/>
            <w:vAlign w:val="center"/>
            <w:hideMark/>
          </w:tcPr>
          <w:p w14:paraId="780EACF1" w14:textId="77777777" w:rsidR="008A1E93" w:rsidRPr="008A1E93" w:rsidRDefault="008A1E93" w:rsidP="008A1E93">
            <w:pPr>
              <w:spacing w:after="0" w:line="240" w:lineRule="auto"/>
              <w:rPr>
                <w:rFonts w:ascii="Times New Roman" w:eastAsia="Times New Roman" w:hAnsi="Times New Roman"/>
                <w:sz w:val="18"/>
                <w:szCs w:val="18"/>
              </w:rPr>
            </w:pPr>
            <w:r>
              <w:rPr>
                <w:rFonts w:ascii="Times New Roman" w:hAnsi="Times New Roman"/>
                <w:sz w:val="18"/>
              </w:rPr>
              <w:t>Surveillance, security and investigation activities</w:t>
            </w:r>
          </w:p>
        </w:tc>
      </w:tr>
      <w:tr w:rsidR="008A1E93" w:rsidRPr="008A1E93" w14:paraId="1A77BDA3" w14:textId="77777777" w:rsidTr="00385866">
        <w:trPr>
          <w:jc w:val="center"/>
        </w:trPr>
        <w:tc>
          <w:tcPr>
            <w:tcW w:w="1786" w:type="pct"/>
            <w:noWrap/>
            <w:vAlign w:val="center"/>
            <w:hideMark/>
          </w:tcPr>
          <w:p w14:paraId="31E49D77" w14:textId="77777777" w:rsidR="008A1E93" w:rsidRPr="008A1E93" w:rsidRDefault="008A1E93" w:rsidP="008A1E93">
            <w:pPr>
              <w:spacing w:after="0" w:line="240" w:lineRule="auto"/>
              <w:rPr>
                <w:rFonts w:ascii="Times New Roman" w:eastAsia="Times New Roman" w:hAnsi="Times New Roman"/>
                <w:sz w:val="18"/>
                <w:szCs w:val="18"/>
              </w:rPr>
            </w:pPr>
            <w:r>
              <w:rPr>
                <w:rFonts w:ascii="Times New Roman" w:hAnsi="Times New Roman"/>
                <w:sz w:val="18"/>
              </w:rPr>
              <w:t>Public administration, defense and social security</w:t>
            </w:r>
          </w:p>
        </w:tc>
        <w:tc>
          <w:tcPr>
            <w:tcW w:w="3214" w:type="pct"/>
            <w:tcBorders>
              <w:top w:val="single" w:sz="4" w:space="0" w:color="auto"/>
              <w:bottom w:val="single" w:sz="4" w:space="0" w:color="auto"/>
              <w:right w:val="nil"/>
            </w:tcBorders>
            <w:noWrap/>
            <w:vAlign w:val="center"/>
            <w:hideMark/>
          </w:tcPr>
          <w:p w14:paraId="2A79B73F" w14:textId="77777777" w:rsidR="008A1E93" w:rsidRPr="008A1E93" w:rsidRDefault="008A1E93" w:rsidP="008A1E93">
            <w:pPr>
              <w:spacing w:after="0" w:line="240" w:lineRule="auto"/>
              <w:rPr>
                <w:rFonts w:ascii="Times New Roman" w:eastAsia="Times New Roman" w:hAnsi="Times New Roman"/>
                <w:sz w:val="18"/>
                <w:szCs w:val="18"/>
              </w:rPr>
            </w:pPr>
            <w:r>
              <w:rPr>
                <w:rFonts w:ascii="Times New Roman" w:hAnsi="Times New Roman"/>
                <w:sz w:val="18"/>
              </w:rPr>
              <w:t>Public administration, defense and social security</w:t>
            </w:r>
          </w:p>
        </w:tc>
      </w:tr>
      <w:tr w:rsidR="008A1E93" w:rsidRPr="008A1E93" w14:paraId="39199269" w14:textId="77777777" w:rsidTr="00385866">
        <w:trPr>
          <w:jc w:val="center"/>
        </w:trPr>
        <w:tc>
          <w:tcPr>
            <w:tcW w:w="1786" w:type="pct"/>
            <w:vMerge w:val="restart"/>
            <w:noWrap/>
            <w:vAlign w:val="center"/>
            <w:hideMark/>
          </w:tcPr>
          <w:p w14:paraId="7EB2D035" w14:textId="77777777" w:rsidR="008A1E93" w:rsidRPr="008A1E93" w:rsidRDefault="008A1E93" w:rsidP="008A1E93">
            <w:pPr>
              <w:spacing w:after="0" w:line="240" w:lineRule="auto"/>
              <w:rPr>
                <w:rFonts w:ascii="Times New Roman" w:eastAsia="Times New Roman" w:hAnsi="Times New Roman"/>
                <w:sz w:val="18"/>
                <w:szCs w:val="18"/>
              </w:rPr>
            </w:pPr>
            <w:r>
              <w:rPr>
                <w:rFonts w:ascii="Times New Roman" w:hAnsi="Times New Roman"/>
                <w:sz w:val="18"/>
              </w:rPr>
              <w:t>Education</w:t>
            </w:r>
          </w:p>
        </w:tc>
        <w:tc>
          <w:tcPr>
            <w:tcW w:w="3214" w:type="pct"/>
            <w:tcBorders>
              <w:top w:val="single" w:sz="4" w:space="0" w:color="auto"/>
              <w:bottom w:val="single" w:sz="4" w:space="0" w:color="auto"/>
              <w:right w:val="nil"/>
            </w:tcBorders>
            <w:noWrap/>
            <w:vAlign w:val="center"/>
            <w:hideMark/>
          </w:tcPr>
          <w:p w14:paraId="2CEA71B9" w14:textId="77777777" w:rsidR="008A1E93" w:rsidRPr="008A1E93" w:rsidRDefault="008A1E93" w:rsidP="008A1E93">
            <w:pPr>
              <w:spacing w:after="0" w:line="240" w:lineRule="auto"/>
              <w:rPr>
                <w:rFonts w:ascii="Times New Roman" w:eastAsia="Times New Roman" w:hAnsi="Times New Roman"/>
                <w:sz w:val="18"/>
                <w:szCs w:val="18"/>
              </w:rPr>
            </w:pPr>
            <w:r>
              <w:rPr>
                <w:rFonts w:ascii="Times New Roman" w:hAnsi="Times New Roman"/>
                <w:sz w:val="18"/>
              </w:rPr>
              <w:t>Public education</w:t>
            </w:r>
          </w:p>
        </w:tc>
      </w:tr>
      <w:tr w:rsidR="008A1E93" w:rsidRPr="008A1E93" w14:paraId="1A59B6EF" w14:textId="77777777" w:rsidTr="00385866">
        <w:trPr>
          <w:jc w:val="center"/>
        </w:trPr>
        <w:tc>
          <w:tcPr>
            <w:tcW w:w="1786" w:type="pct"/>
            <w:vMerge/>
            <w:vAlign w:val="center"/>
            <w:hideMark/>
          </w:tcPr>
          <w:p w14:paraId="25129592" w14:textId="77777777" w:rsidR="008A1E93" w:rsidRPr="008A1E93" w:rsidRDefault="008A1E93" w:rsidP="008A1E93">
            <w:pPr>
              <w:spacing w:after="0" w:line="240" w:lineRule="auto"/>
              <w:rPr>
                <w:rFonts w:ascii="Times New Roman" w:eastAsia="Times New Roman" w:hAnsi="Times New Roman"/>
                <w:sz w:val="18"/>
                <w:szCs w:val="18"/>
                <w:lang w:val="pt-BR"/>
              </w:rPr>
            </w:pPr>
          </w:p>
        </w:tc>
        <w:tc>
          <w:tcPr>
            <w:tcW w:w="3214" w:type="pct"/>
            <w:tcBorders>
              <w:top w:val="single" w:sz="4" w:space="0" w:color="auto"/>
              <w:bottom w:val="single" w:sz="4" w:space="0" w:color="auto"/>
              <w:right w:val="nil"/>
            </w:tcBorders>
            <w:noWrap/>
            <w:vAlign w:val="center"/>
            <w:hideMark/>
          </w:tcPr>
          <w:p w14:paraId="5500CA32" w14:textId="77777777" w:rsidR="008A1E93" w:rsidRPr="008A1E93" w:rsidRDefault="008A1E93" w:rsidP="008A1E93">
            <w:pPr>
              <w:spacing w:after="0" w:line="240" w:lineRule="auto"/>
              <w:rPr>
                <w:rFonts w:ascii="Times New Roman" w:eastAsia="Times New Roman" w:hAnsi="Times New Roman"/>
                <w:sz w:val="18"/>
                <w:szCs w:val="18"/>
              </w:rPr>
            </w:pPr>
            <w:r>
              <w:rPr>
                <w:rFonts w:ascii="Times New Roman" w:hAnsi="Times New Roman"/>
                <w:sz w:val="18"/>
              </w:rPr>
              <w:t>Private education</w:t>
            </w:r>
          </w:p>
        </w:tc>
      </w:tr>
      <w:tr w:rsidR="008A1E93" w:rsidRPr="008A1E93" w14:paraId="46D8CD4E" w14:textId="77777777" w:rsidTr="00385866">
        <w:trPr>
          <w:jc w:val="center"/>
        </w:trPr>
        <w:tc>
          <w:tcPr>
            <w:tcW w:w="1786" w:type="pct"/>
            <w:vMerge w:val="restart"/>
            <w:noWrap/>
            <w:vAlign w:val="center"/>
            <w:hideMark/>
          </w:tcPr>
          <w:p w14:paraId="7ECBAF55" w14:textId="77777777" w:rsidR="008A1E93" w:rsidRPr="008A1E93" w:rsidRDefault="008A1E93" w:rsidP="008A1E93">
            <w:pPr>
              <w:spacing w:after="0" w:line="240" w:lineRule="auto"/>
              <w:rPr>
                <w:rFonts w:ascii="Times New Roman" w:eastAsia="Times New Roman" w:hAnsi="Times New Roman"/>
                <w:sz w:val="18"/>
                <w:szCs w:val="18"/>
              </w:rPr>
            </w:pPr>
            <w:r>
              <w:rPr>
                <w:rFonts w:ascii="Times New Roman" w:hAnsi="Times New Roman"/>
                <w:sz w:val="18"/>
              </w:rPr>
              <w:t>Human health and social services</w:t>
            </w:r>
          </w:p>
        </w:tc>
        <w:tc>
          <w:tcPr>
            <w:tcW w:w="3214" w:type="pct"/>
            <w:tcBorders>
              <w:top w:val="single" w:sz="4" w:space="0" w:color="auto"/>
              <w:bottom w:val="single" w:sz="4" w:space="0" w:color="auto"/>
              <w:right w:val="nil"/>
            </w:tcBorders>
            <w:noWrap/>
            <w:vAlign w:val="center"/>
            <w:hideMark/>
          </w:tcPr>
          <w:p w14:paraId="67125F24" w14:textId="77777777" w:rsidR="008A1E93" w:rsidRPr="008A1E93" w:rsidRDefault="008A1E93" w:rsidP="008A1E93">
            <w:pPr>
              <w:spacing w:after="0" w:line="240" w:lineRule="auto"/>
              <w:rPr>
                <w:rFonts w:ascii="Times New Roman" w:eastAsia="Times New Roman" w:hAnsi="Times New Roman"/>
                <w:sz w:val="18"/>
                <w:szCs w:val="18"/>
              </w:rPr>
            </w:pPr>
            <w:r>
              <w:rPr>
                <w:rFonts w:ascii="Times New Roman" w:hAnsi="Times New Roman"/>
                <w:sz w:val="18"/>
              </w:rPr>
              <w:t>Public health</w:t>
            </w:r>
          </w:p>
        </w:tc>
      </w:tr>
      <w:tr w:rsidR="008A1E93" w:rsidRPr="008A1E93" w14:paraId="5DE93C02" w14:textId="77777777" w:rsidTr="00385866">
        <w:trPr>
          <w:jc w:val="center"/>
        </w:trPr>
        <w:tc>
          <w:tcPr>
            <w:tcW w:w="1786" w:type="pct"/>
            <w:vMerge/>
            <w:tcBorders>
              <w:bottom w:val="single" w:sz="4" w:space="0" w:color="auto"/>
            </w:tcBorders>
            <w:vAlign w:val="center"/>
            <w:hideMark/>
          </w:tcPr>
          <w:p w14:paraId="06491264" w14:textId="77777777" w:rsidR="008A1E93" w:rsidRPr="008A1E93" w:rsidRDefault="008A1E93" w:rsidP="008A1E93">
            <w:pPr>
              <w:spacing w:after="0" w:line="240" w:lineRule="auto"/>
              <w:rPr>
                <w:rFonts w:ascii="Times New Roman" w:eastAsia="Times New Roman" w:hAnsi="Times New Roman"/>
                <w:sz w:val="18"/>
                <w:szCs w:val="18"/>
                <w:lang w:val="pt-BR"/>
              </w:rPr>
            </w:pPr>
          </w:p>
        </w:tc>
        <w:tc>
          <w:tcPr>
            <w:tcW w:w="3214" w:type="pct"/>
            <w:tcBorders>
              <w:top w:val="single" w:sz="4" w:space="0" w:color="auto"/>
              <w:bottom w:val="single" w:sz="4" w:space="0" w:color="auto"/>
              <w:right w:val="nil"/>
            </w:tcBorders>
            <w:noWrap/>
            <w:vAlign w:val="center"/>
            <w:hideMark/>
          </w:tcPr>
          <w:p w14:paraId="3C532CC4" w14:textId="77777777" w:rsidR="008A1E93" w:rsidRPr="008A1E93" w:rsidRDefault="008A1E93" w:rsidP="008A1E93">
            <w:pPr>
              <w:spacing w:after="0" w:line="240" w:lineRule="auto"/>
              <w:rPr>
                <w:rFonts w:ascii="Times New Roman" w:eastAsia="Times New Roman" w:hAnsi="Times New Roman"/>
                <w:sz w:val="18"/>
                <w:szCs w:val="18"/>
              </w:rPr>
            </w:pPr>
            <w:r>
              <w:rPr>
                <w:rFonts w:ascii="Times New Roman" w:hAnsi="Times New Roman"/>
                <w:sz w:val="18"/>
              </w:rPr>
              <w:t>Private healthcare</w:t>
            </w:r>
          </w:p>
        </w:tc>
      </w:tr>
      <w:tr w:rsidR="008A1E93" w:rsidRPr="008A1E93" w14:paraId="4BF5FFAC" w14:textId="77777777" w:rsidTr="00385866">
        <w:trPr>
          <w:jc w:val="center"/>
        </w:trPr>
        <w:tc>
          <w:tcPr>
            <w:tcW w:w="1786" w:type="pct"/>
            <w:vMerge w:val="restart"/>
            <w:tcBorders>
              <w:top w:val="single" w:sz="4" w:space="0" w:color="auto"/>
              <w:bottom w:val="single" w:sz="4" w:space="0" w:color="auto"/>
              <w:right w:val="single" w:sz="4" w:space="0" w:color="auto"/>
            </w:tcBorders>
            <w:noWrap/>
            <w:vAlign w:val="center"/>
            <w:hideMark/>
          </w:tcPr>
          <w:p w14:paraId="57B00CA4" w14:textId="77777777" w:rsidR="008A1E93" w:rsidRPr="008A1E93" w:rsidRDefault="008A1E93" w:rsidP="008A1E93">
            <w:pPr>
              <w:spacing w:after="0" w:line="240" w:lineRule="auto"/>
              <w:rPr>
                <w:rFonts w:ascii="Times New Roman" w:eastAsia="Times New Roman" w:hAnsi="Times New Roman"/>
                <w:sz w:val="18"/>
                <w:szCs w:val="18"/>
              </w:rPr>
            </w:pPr>
            <w:r>
              <w:rPr>
                <w:rFonts w:ascii="Times New Roman" w:hAnsi="Times New Roman"/>
                <w:sz w:val="18"/>
              </w:rPr>
              <w:t>Other services</w:t>
            </w:r>
          </w:p>
        </w:tc>
        <w:tc>
          <w:tcPr>
            <w:tcW w:w="3214" w:type="pct"/>
            <w:tcBorders>
              <w:top w:val="single" w:sz="4" w:space="0" w:color="auto"/>
              <w:left w:val="single" w:sz="4" w:space="0" w:color="auto"/>
              <w:bottom w:val="single" w:sz="4" w:space="0" w:color="auto"/>
              <w:right w:val="nil"/>
            </w:tcBorders>
            <w:noWrap/>
            <w:vAlign w:val="center"/>
            <w:hideMark/>
          </w:tcPr>
          <w:p w14:paraId="17E1C958" w14:textId="77777777" w:rsidR="008A1E93" w:rsidRPr="008A1E93" w:rsidRDefault="008A1E93" w:rsidP="008A1E93">
            <w:pPr>
              <w:spacing w:after="0" w:line="240" w:lineRule="auto"/>
              <w:rPr>
                <w:rFonts w:ascii="Times New Roman" w:eastAsia="Times New Roman" w:hAnsi="Times New Roman"/>
                <w:sz w:val="18"/>
                <w:szCs w:val="18"/>
              </w:rPr>
            </w:pPr>
            <w:r>
              <w:rPr>
                <w:rFonts w:ascii="Times New Roman" w:hAnsi="Times New Roman"/>
                <w:sz w:val="18"/>
              </w:rPr>
              <w:t>Artistic, creative and performance activities</w:t>
            </w:r>
          </w:p>
        </w:tc>
      </w:tr>
      <w:tr w:rsidR="008A1E93" w:rsidRPr="008A1E93" w14:paraId="5BF2F4AF" w14:textId="77777777" w:rsidTr="00385866">
        <w:trPr>
          <w:jc w:val="center"/>
        </w:trPr>
        <w:tc>
          <w:tcPr>
            <w:tcW w:w="1786" w:type="pct"/>
            <w:vMerge/>
            <w:tcBorders>
              <w:top w:val="nil"/>
              <w:bottom w:val="single" w:sz="4" w:space="0" w:color="auto"/>
              <w:right w:val="single" w:sz="4" w:space="0" w:color="auto"/>
            </w:tcBorders>
            <w:vAlign w:val="center"/>
            <w:hideMark/>
          </w:tcPr>
          <w:p w14:paraId="375E46FF" w14:textId="77777777" w:rsidR="008A1E93" w:rsidRPr="00522DCF" w:rsidRDefault="008A1E93" w:rsidP="008A1E93">
            <w:pPr>
              <w:spacing w:after="0" w:line="240" w:lineRule="auto"/>
              <w:rPr>
                <w:rFonts w:ascii="Times New Roman" w:eastAsia="Times New Roman" w:hAnsi="Times New Roman"/>
                <w:sz w:val="18"/>
                <w:szCs w:val="18"/>
              </w:rPr>
            </w:pPr>
          </w:p>
        </w:tc>
        <w:tc>
          <w:tcPr>
            <w:tcW w:w="3214" w:type="pct"/>
            <w:tcBorders>
              <w:top w:val="single" w:sz="4" w:space="0" w:color="auto"/>
              <w:left w:val="single" w:sz="4" w:space="0" w:color="auto"/>
              <w:bottom w:val="single" w:sz="4" w:space="0" w:color="auto"/>
              <w:right w:val="nil"/>
            </w:tcBorders>
            <w:noWrap/>
            <w:vAlign w:val="center"/>
            <w:hideMark/>
          </w:tcPr>
          <w:p w14:paraId="36D6727D" w14:textId="77777777" w:rsidR="008A1E93" w:rsidRPr="008A1E93" w:rsidRDefault="008A1E93" w:rsidP="008A1E93">
            <w:pPr>
              <w:spacing w:after="0" w:line="240" w:lineRule="auto"/>
              <w:rPr>
                <w:rFonts w:ascii="Times New Roman" w:eastAsia="Times New Roman" w:hAnsi="Times New Roman"/>
                <w:sz w:val="18"/>
                <w:szCs w:val="18"/>
              </w:rPr>
            </w:pPr>
            <w:r>
              <w:rPr>
                <w:rFonts w:ascii="Times New Roman" w:hAnsi="Times New Roman"/>
                <w:sz w:val="18"/>
              </w:rPr>
              <w:t>Membership Organizations and Other Personal Services</w:t>
            </w:r>
          </w:p>
        </w:tc>
      </w:tr>
      <w:tr w:rsidR="008A1E93" w:rsidRPr="008A1E93" w14:paraId="0A0E0B44" w14:textId="77777777" w:rsidTr="00385866">
        <w:trPr>
          <w:jc w:val="center"/>
        </w:trPr>
        <w:tc>
          <w:tcPr>
            <w:tcW w:w="1786" w:type="pct"/>
            <w:vMerge/>
            <w:tcBorders>
              <w:top w:val="nil"/>
              <w:bottom w:val="single" w:sz="4" w:space="0" w:color="auto"/>
              <w:right w:val="single" w:sz="4" w:space="0" w:color="auto"/>
            </w:tcBorders>
            <w:vAlign w:val="center"/>
            <w:hideMark/>
          </w:tcPr>
          <w:p w14:paraId="12A1BE29" w14:textId="77777777" w:rsidR="008A1E93" w:rsidRPr="00522DCF" w:rsidRDefault="008A1E93" w:rsidP="008A1E93">
            <w:pPr>
              <w:spacing w:after="0" w:line="240" w:lineRule="auto"/>
              <w:rPr>
                <w:rFonts w:ascii="Times New Roman" w:eastAsia="Times New Roman" w:hAnsi="Times New Roman"/>
                <w:sz w:val="18"/>
                <w:szCs w:val="18"/>
              </w:rPr>
            </w:pPr>
          </w:p>
        </w:tc>
        <w:tc>
          <w:tcPr>
            <w:tcW w:w="3214" w:type="pct"/>
            <w:tcBorders>
              <w:top w:val="single" w:sz="4" w:space="0" w:color="auto"/>
              <w:left w:val="single" w:sz="4" w:space="0" w:color="auto"/>
              <w:bottom w:val="single" w:sz="4" w:space="0" w:color="auto"/>
              <w:right w:val="nil"/>
            </w:tcBorders>
            <w:noWrap/>
            <w:vAlign w:val="center"/>
            <w:hideMark/>
          </w:tcPr>
          <w:p w14:paraId="6208E38A" w14:textId="77777777" w:rsidR="008A1E93" w:rsidRPr="008A1E93" w:rsidRDefault="008A1E93" w:rsidP="008A1E93">
            <w:pPr>
              <w:spacing w:after="0" w:line="240" w:lineRule="auto"/>
              <w:rPr>
                <w:rFonts w:ascii="Times New Roman" w:eastAsia="Times New Roman" w:hAnsi="Times New Roman"/>
                <w:sz w:val="18"/>
                <w:szCs w:val="18"/>
              </w:rPr>
            </w:pPr>
            <w:r>
              <w:rPr>
                <w:rFonts w:ascii="Times New Roman" w:hAnsi="Times New Roman"/>
                <w:sz w:val="18"/>
              </w:rPr>
              <w:t>Home Services</w:t>
            </w:r>
          </w:p>
        </w:tc>
      </w:tr>
    </w:tbl>
    <w:p w14:paraId="55EA4F38" w14:textId="605F0DEB" w:rsidR="004C75DE" w:rsidRPr="009428CA" w:rsidRDefault="008A1E93" w:rsidP="009428CA">
      <w:pPr>
        <w:autoSpaceDE w:val="0"/>
        <w:autoSpaceDN w:val="0"/>
        <w:adjustRightInd w:val="0"/>
        <w:spacing w:before="80" w:after="0" w:line="240" w:lineRule="auto"/>
        <w:jc w:val="center"/>
        <w:textAlignment w:val="center"/>
        <w:rPr>
          <w:rFonts w:ascii="Times New Roman" w:hAnsi="Times New Roman"/>
          <w:color w:val="000000"/>
          <w:sz w:val="18"/>
        </w:rPr>
      </w:pPr>
      <w:r>
        <w:rPr>
          <w:rFonts w:ascii="Times New Roman" w:hAnsi="Times New Roman"/>
          <w:color w:val="000000"/>
          <w:sz w:val="18"/>
        </w:rPr>
        <w:t>Source: Original work.</w:t>
      </w:r>
    </w:p>
    <w:sectPr w:rsidR="004C75DE" w:rsidRPr="009428CA" w:rsidSect="00522DCF">
      <w:headerReference w:type="even" r:id="rId22"/>
      <w:headerReference w:type="default" r:id="rId23"/>
      <w:footerReference w:type="even" r:id="rId24"/>
      <w:footerReference w:type="default" r:id="rId25"/>
      <w:headerReference w:type="first" r:id="rId26"/>
      <w:footerReference w:type="first" r:id="rId27"/>
      <w:pgSz w:w="9923" w:h="13608" w:code="9"/>
      <w:pgMar w:top="1418" w:right="851" w:bottom="1418" w:left="1134" w:header="709" w:footer="397" w:gutter="0"/>
      <w:pgNumType w:start="23"/>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EB5D15" w14:textId="77777777" w:rsidR="001E3A9C" w:rsidRDefault="001E3A9C" w:rsidP="008C41B8">
      <w:pPr>
        <w:spacing w:after="0" w:line="240" w:lineRule="auto"/>
      </w:pPr>
      <w:r>
        <w:separator/>
      </w:r>
    </w:p>
  </w:endnote>
  <w:endnote w:type="continuationSeparator" w:id="0">
    <w:p w14:paraId="04430980" w14:textId="77777777" w:rsidR="001E3A9C" w:rsidRDefault="001E3A9C" w:rsidP="008C41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aramond">
    <w:altName w:val="Constantia"/>
    <w:charset w:val="00"/>
    <w:family w:val="roman"/>
    <w:pitch w:val="variable"/>
    <w:sig w:usb0="00000001"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21D1F1" w14:textId="77777777" w:rsidR="006A2EB8" w:rsidRDefault="006A2EB8">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A97C23" w14:textId="4D4A8B96" w:rsidR="00543704" w:rsidRPr="00522DCF" w:rsidRDefault="00543704" w:rsidP="008B79B8">
    <w:pPr>
      <w:pStyle w:val="Rodap"/>
      <w:spacing w:after="0" w:line="240" w:lineRule="auto"/>
      <w:rPr>
        <w:rFonts w:ascii="Tahoma" w:hAnsi="Tahoma" w:cs="Tahoma"/>
        <w:color w:val="7F7F7F"/>
        <w:sz w:val="14"/>
        <w:szCs w:val="18"/>
        <w:lang w:val="pt-BR"/>
      </w:rPr>
    </w:pPr>
    <w:r w:rsidRPr="00522DCF">
      <w:rPr>
        <w:rFonts w:ascii="Tahoma" w:hAnsi="Tahoma"/>
        <w:color w:val="7F7F7F"/>
        <w:sz w:val="14"/>
        <w:lang w:val="pt-BR"/>
      </w:rPr>
      <w:t>Economia Ensaios, Uberlândia, 3</w:t>
    </w:r>
    <w:r w:rsidR="00522DCF">
      <w:rPr>
        <w:rFonts w:ascii="Tahoma" w:hAnsi="Tahoma"/>
        <w:color w:val="7F7F7F"/>
        <w:sz w:val="14"/>
        <w:lang w:val="pt-BR"/>
      </w:rPr>
      <w:t>9</w:t>
    </w:r>
    <w:r w:rsidRPr="00522DCF">
      <w:rPr>
        <w:rFonts w:ascii="Tahoma" w:hAnsi="Tahoma"/>
        <w:color w:val="7F7F7F"/>
        <w:sz w:val="14"/>
        <w:lang w:val="pt-BR"/>
      </w:rPr>
      <w:t>(</w:t>
    </w:r>
    <w:r w:rsidR="00522DCF">
      <w:rPr>
        <w:rFonts w:ascii="Tahoma" w:hAnsi="Tahoma"/>
        <w:color w:val="7F7F7F"/>
        <w:sz w:val="14"/>
        <w:lang w:val="pt-BR"/>
      </w:rPr>
      <w:t>2</w:t>
    </w:r>
    <w:r w:rsidRPr="00522DCF">
      <w:rPr>
        <w:rFonts w:ascii="Tahoma" w:hAnsi="Tahoma"/>
        <w:color w:val="7F7F7F"/>
        <w:sz w:val="14"/>
        <w:lang w:val="pt-BR"/>
      </w:rPr>
      <w:t xml:space="preserve">): </w:t>
    </w:r>
    <w:r w:rsidR="00522DCF">
      <w:rPr>
        <w:rFonts w:ascii="Tahoma" w:hAnsi="Tahoma"/>
        <w:color w:val="7F7F7F"/>
        <w:sz w:val="14"/>
        <w:lang w:val="pt-BR"/>
      </w:rPr>
      <w:t>23</w:t>
    </w:r>
    <w:r w:rsidRPr="00522DCF">
      <w:rPr>
        <w:rFonts w:ascii="Tahoma" w:hAnsi="Tahoma"/>
        <w:color w:val="7F7F7F"/>
        <w:sz w:val="14"/>
        <w:lang w:val="pt-BR"/>
      </w:rPr>
      <w:t>-</w:t>
    </w:r>
    <w:r w:rsidR="00522DCF">
      <w:rPr>
        <w:rFonts w:ascii="Tahoma" w:hAnsi="Tahoma"/>
        <w:color w:val="7F7F7F"/>
        <w:sz w:val="14"/>
        <w:lang w:val="pt-BR"/>
      </w:rPr>
      <w:t>5</w:t>
    </w:r>
    <w:r w:rsidR="00AA6BA8">
      <w:rPr>
        <w:rFonts w:ascii="Tahoma" w:hAnsi="Tahoma"/>
        <w:color w:val="7F7F7F"/>
        <w:sz w:val="14"/>
        <w:lang w:val="pt-BR"/>
      </w:rPr>
      <w:t>4</w:t>
    </w:r>
    <w:r w:rsidRPr="00522DCF">
      <w:rPr>
        <w:rFonts w:ascii="Tahoma" w:hAnsi="Tahoma"/>
        <w:color w:val="7F7F7F"/>
        <w:sz w:val="14"/>
        <w:lang w:val="pt-BR"/>
      </w:rPr>
      <w:t xml:space="preserve">, </w:t>
    </w:r>
    <w:r w:rsidR="00522DCF">
      <w:rPr>
        <w:rFonts w:ascii="Tahoma" w:hAnsi="Tahoma"/>
        <w:color w:val="7F7F7F"/>
        <w:sz w:val="14"/>
        <w:lang w:val="pt-BR"/>
      </w:rPr>
      <w:t>jul</w:t>
    </w:r>
    <w:r w:rsidRPr="00522DCF">
      <w:rPr>
        <w:rFonts w:ascii="Tahoma" w:hAnsi="Tahoma"/>
        <w:color w:val="7F7F7F"/>
        <w:sz w:val="14"/>
        <w:lang w:val="pt-BR"/>
      </w:rPr>
      <w:t>./</w:t>
    </w:r>
    <w:r w:rsidR="008C5BF3">
      <w:rPr>
        <w:rFonts w:ascii="Tahoma" w:hAnsi="Tahoma"/>
        <w:color w:val="7F7F7F"/>
        <w:sz w:val="14"/>
        <w:lang w:val="pt-BR"/>
      </w:rPr>
      <w:t>dez.</w:t>
    </w:r>
    <w:r w:rsidRPr="00522DCF">
      <w:rPr>
        <w:rFonts w:ascii="Tahoma" w:hAnsi="Tahoma"/>
        <w:color w:val="7F7F7F"/>
        <w:sz w:val="14"/>
        <w:lang w:val="pt-BR"/>
      </w:rPr>
      <w:t xml:space="preserve"> 20</w:t>
    </w:r>
    <w:r w:rsidR="00522DCF">
      <w:rPr>
        <w:rFonts w:ascii="Tahoma" w:hAnsi="Tahoma"/>
        <w:color w:val="7F7F7F"/>
        <w:sz w:val="14"/>
        <w:lang w:val="pt-BR"/>
      </w:rPr>
      <w:t>24</w:t>
    </w:r>
    <w:r w:rsidRPr="00522DCF">
      <w:rPr>
        <w:rFonts w:ascii="Tahoma" w:hAnsi="Tahoma"/>
        <w:color w:val="7F7F7F"/>
        <w:sz w:val="14"/>
        <w:lang w:val="pt-BR"/>
      </w:rPr>
      <w:t xml:space="preserve">                                                                                            </w:t>
    </w:r>
    <w:r w:rsidRPr="008D652E">
      <w:rPr>
        <w:rFonts w:ascii="Tahoma" w:hAnsi="Tahoma" w:cs="Tahoma"/>
        <w:color w:val="7F7F7F"/>
        <w:sz w:val="14"/>
      </w:rPr>
      <w:fldChar w:fldCharType="begin"/>
    </w:r>
    <w:r w:rsidRPr="00522DCF">
      <w:rPr>
        <w:rFonts w:ascii="Tahoma" w:hAnsi="Tahoma" w:cs="Tahoma"/>
        <w:color w:val="7F7F7F"/>
        <w:sz w:val="14"/>
        <w:lang w:val="pt-BR"/>
      </w:rPr>
      <w:instrText>PAGE   \* MERGEFORMAT</w:instrText>
    </w:r>
    <w:r w:rsidRPr="008D652E">
      <w:rPr>
        <w:rFonts w:ascii="Tahoma" w:hAnsi="Tahoma" w:cs="Tahoma"/>
        <w:color w:val="7F7F7F"/>
        <w:sz w:val="14"/>
      </w:rPr>
      <w:fldChar w:fldCharType="separate"/>
    </w:r>
    <w:r w:rsidRPr="00522DCF">
      <w:rPr>
        <w:rFonts w:ascii="Tahoma" w:hAnsi="Tahoma" w:cs="Tahoma"/>
        <w:color w:val="7F7F7F"/>
        <w:sz w:val="14"/>
        <w:lang w:val="pt-BR"/>
      </w:rPr>
      <w:t>1</w:t>
    </w:r>
    <w:r w:rsidRPr="008D652E">
      <w:rPr>
        <w:rFonts w:ascii="Tahoma" w:hAnsi="Tahoma" w:cs="Tahoma"/>
        <w:color w:val="7F7F7F"/>
        <w:sz w:val="14"/>
      </w:rPr>
      <w:fldChar w:fldCharType="end"/>
    </w:r>
  </w:p>
  <w:p w14:paraId="730BF8A5" w14:textId="27217759" w:rsidR="00543704" w:rsidRPr="00522DCF" w:rsidRDefault="00543704" w:rsidP="00C4788F">
    <w:pPr>
      <w:pStyle w:val="Rodap"/>
      <w:spacing w:after="0" w:line="240" w:lineRule="auto"/>
      <w:rPr>
        <w:rFonts w:ascii="Tahoma" w:hAnsi="Tahoma" w:cs="Tahoma"/>
        <w:color w:val="7F7F7F"/>
        <w:sz w:val="14"/>
        <w:szCs w:val="18"/>
        <w:lang w:val="pt-BR"/>
      </w:rPr>
    </w:pPr>
    <w:r w:rsidRPr="00522DCF">
      <w:rPr>
        <w:rFonts w:ascii="Tahoma" w:hAnsi="Tahoma"/>
        <w:color w:val="7F7F7F"/>
        <w:sz w:val="14"/>
        <w:lang w:val="pt-BR"/>
      </w:rPr>
      <w:t xml:space="preserve">ISSN impresso: 0102-2482 / ISSN online: 1983-1994                                                                         </w:t>
    </w:r>
    <w:r w:rsidRPr="00522DCF">
      <w:rPr>
        <w:lang w:val="pt-B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8D15BA" w14:textId="4A9AE84E" w:rsidR="00522DCF" w:rsidRDefault="00543704" w:rsidP="00522DCF">
    <w:pPr>
      <w:pStyle w:val="Rodap"/>
      <w:tabs>
        <w:tab w:val="left" w:pos="7938"/>
      </w:tabs>
      <w:spacing w:after="0" w:line="240" w:lineRule="auto"/>
      <w:ind w:right="-142"/>
      <w:rPr>
        <w:rFonts w:ascii="Tahoma" w:hAnsi="Tahoma" w:cs="Tahoma"/>
        <w:color w:val="7F7F7F"/>
        <w:sz w:val="14"/>
        <w:lang w:val="pt-BR"/>
      </w:rPr>
    </w:pPr>
    <w:r w:rsidRPr="00522DCF">
      <w:rPr>
        <w:rFonts w:ascii="Tahoma" w:hAnsi="Tahoma"/>
        <w:color w:val="7F7F7F"/>
        <w:sz w:val="14"/>
        <w:lang w:val="pt-BR"/>
      </w:rPr>
      <w:t>Economia Ensaios, Uberlândia, 3</w:t>
    </w:r>
    <w:r w:rsidR="00522DCF">
      <w:rPr>
        <w:rFonts w:ascii="Tahoma" w:hAnsi="Tahoma"/>
        <w:color w:val="7F7F7F"/>
        <w:sz w:val="14"/>
        <w:lang w:val="pt-BR"/>
      </w:rPr>
      <w:t>9</w:t>
    </w:r>
    <w:r w:rsidRPr="00522DCF">
      <w:rPr>
        <w:rFonts w:ascii="Tahoma" w:hAnsi="Tahoma"/>
        <w:color w:val="7F7F7F"/>
        <w:sz w:val="14"/>
        <w:lang w:val="pt-BR"/>
      </w:rPr>
      <w:t>(</w:t>
    </w:r>
    <w:r w:rsidR="00522DCF">
      <w:rPr>
        <w:rFonts w:ascii="Tahoma" w:hAnsi="Tahoma"/>
        <w:color w:val="7F7F7F"/>
        <w:sz w:val="14"/>
        <w:lang w:val="pt-BR"/>
      </w:rPr>
      <w:t>2</w:t>
    </w:r>
    <w:r w:rsidRPr="00522DCF">
      <w:rPr>
        <w:rFonts w:ascii="Tahoma" w:hAnsi="Tahoma"/>
        <w:color w:val="7F7F7F"/>
        <w:sz w:val="14"/>
        <w:lang w:val="pt-BR"/>
      </w:rPr>
      <w:t xml:space="preserve">): </w:t>
    </w:r>
    <w:r w:rsidR="00522DCF">
      <w:rPr>
        <w:rFonts w:ascii="Tahoma" w:hAnsi="Tahoma"/>
        <w:color w:val="7F7F7F"/>
        <w:sz w:val="14"/>
        <w:lang w:val="pt-BR"/>
      </w:rPr>
      <w:t>23</w:t>
    </w:r>
    <w:r w:rsidRPr="00522DCF">
      <w:rPr>
        <w:rFonts w:ascii="Tahoma" w:hAnsi="Tahoma"/>
        <w:color w:val="7F7F7F"/>
        <w:sz w:val="14"/>
        <w:lang w:val="pt-BR"/>
      </w:rPr>
      <w:t>-</w:t>
    </w:r>
    <w:r w:rsidR="00AA6BA8">
      <w:rPr>
        <w:rFonts w:ascii="Tahoma" w:hAnsi="Tahoma"/>
        <w:color w:val="7F7F7F"/>
        <w:sz w:val="14"/>
        <w:lang w:val="pt-BR"/>
      </w:rPr>
      <w:t>54</w:t>
    </w:r>
    <w:r w:rsidRPr="00522DCF">
      <w:rPr>
        <w:rFonts w:ascii="Tahoma" w:hAnsi="Tahoma"/>
        <w:color w:val="7F7F7F"/>
        <w:sz w:val="14"/>
        <w:lang w:val="pt-BR"/>
      </w:rPr>
      <w:t xml:space="preserve">, </w:t>
    </w:r>
    <w:r w:rsidR="00522DCF">
      <w:rPr>
        <w:rFonts w:ascii="Tahoma" w:hAnsi="Tahoma"/>
        <w:color w:val="7F7F7F"/>
        <w:sz w:val="14"/>
        <w:lang w:val="pt-BR"/>
      </w:rPr>
      <w:t>Jul</w:t>
    </w:r>
    <w:r w:rsidRPr="00522DCF">
      <w:rPr>
        <w:rFonts w:ascii="Tahoma" w:hAnsi="Tahoma"/>
        <w:color w:val="7F7F7F"/>
        <w:sz w:val="14"/>
        <w:lang w:val="pt-BR"/>
      </w:rPr>
      <w:t>./</w:t>
    </w:r>
    <w:r w:rsidR="00522DCF">
      <w:rPr>
        <w:rFonts w:ascii="Tahoma" w:hAnsi="Tahoma"/>
        <w:color w:val="7F7F7F"/>
        <w:sz w:val="14"/>
        <w:lang w:val="pt-BR"/>
      </w:rPr>
      <w:t>Dez</w:t>
    </w:r>
    <w:r w:rsidRPr="00522DCF">
      <w:rPr>
        <w:rFonts w:ascii="Tahoma" w:hAnsi="Tahoma"/>
        <w:color w:val="7F7F7F"/>
        <w:sz w:val="14"/>
        <w:lang w:val="pt-BR"/>
      </w:rPr>
      <w:t>. 20</w:t>
    </w:r>
    <w:r w:rsidR="00522DCF">
      <w:rPr>
        <w:rFonts w:ascii="Tahoma" w:hAnsi="Tahoma"/>
        <w:color w:val="7F7F7F"/>
        <w:sz w:val="14"/>
        <w:lang w:val="pt-BR"/>
      </w:rPr>
      <w:t>24</w:t>
    </w:r>
    <w:r w:rsidRPr="00522DCF">
      <w:rPr>
        <w:rFonts w:ascii="Tahoma" w:hAnsi="Tahoma"/>
        <w:color w:val="7F7F7F"/>
        <w:sz w:val="14"/>
        <w:lang w:val="pt-BR"/>
      </w:rPr>
      <w:t xml:space="preserve">                                                        </w:t>
    </w:r>
    <w:r w:rsidR="00522DCF">
      <w:rPr>
        <w:rFonts w:ascii="Tahoma" w:hAnsi="Tahoma"/>
        <w:color w:val="7F7F7F"/>
        <w:sz w:val="14"/>
        <w:lang w:val="pt-BR"/>
      </w:rPr>
      <w:t xml:space="preserve">                                        23      </w:t>
    </w:r>
    <w:r w:rsidRPr="00522DCF">
      <w:rPr>
        <w:rFonts w:ascii="Tahoma" w:hAnsi="Tahoma"/>
        <w:color w:val="7F7F7F"/>
        <w:sz w:val="14"/>
        <w:lang w:val="pt-BR"/>
      </w:rPr>
      <w:t xml:space="preserve"> </w:t>
    </w:r>
    <w:r w:rsidR="00522DCF">
      <w:rPr>
        <w:rFonts w:ascii="Tahoma" w:hAnsi="Tahoma"/>
        <w:color w:val="7F7F7F"/>
        <w:sz w:val="14"/>
        <w:lang w:val="pt-BR"/>
      </w:rPr>
      <w:t xml:space="preserve">    </w:t>
    </w:r>
    <w:r w:rsidRPr="00522DCF">
      <w:rPr>
        <w:rFonts w:ascii="Tahoma" w:hAnsi="Tahoma"/>
        <w:color w:val="7F7F7F"/>
        <w:sz w:val="14"/>
        <w:lang w:val="pt-BR"/>
      </w:rPr>
      <w:t xml:space="preserve">   </w:t>
    </w:r>
  </w:p>
  <w:p w14:paraId="76E0ED4A" w14:textId="22D7EC33" w:rsidR="00543704" w:rsidRPr="00522DCF" w:rsidRDefault="00543704" w:rsidP="00522DCF">
    <w:pPr>
      <w:pStyle w:val="Rodap"/>
      <w:tabs>
        <w:tab w:val="left" w:pos="7938"/>
      </w:tabs>
      <w:spacing w:after="0" w:line="240" w:lineRule="auto"/>
      <w:ind w:right="-142"/>
      <w:rPr>
        <w:rFonts w:ascii="Tahoma" w:hAnsi="Tahoma" w:cs="Tahoma"/>
        <w:color w:val="7F7F7F"/>
        <w:sz w:val="14"/>
        <w:szCs w:val="18"/>
        <w:lang w:val="pt-BR"/>
      </w:rPr>
    </w:pPr>
    <w:r w:rsidRPr="00522DCF">
      <w:rPr>
        <w:rFonts w:ascii="Tahoma" w:hAnsi="Tahoma"/>
        <w:color w:val="7F7F7F"/>
        <w:sz w:val="14"/>
        <w:lang w:val="pt-BR"/>
      </w:rPr>
      <w:t xml:space="preserve">ISSN impresso: 0102-2482 / ISSN online: 1983-1994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0D0F58" w14:textId="77777777" w:rsidR="001E3A9C" w:rsidRDefault="001E3A9C" w:rsidP="008C41B8">
      <w:pPr>
        <w:spacing w:after="0" w:line="240" w:lineRule="auto"/>
      </w:pPr>
      <w:r>
        <w:separator/>
      </w:r>
    </w:p>
  </w:footnote>
  <w:footnote w:type="continuationSeparator" w:id="0">
    <w:p w14:paraId="02628FE1" w14:textId="77777777" w:rsidR="001E3A9C" w:rsidRDefault="001E3A9C" w:rsidP="008C41B8">
      <w:pPr>
        <w:spacing w:after="0" w:line="240" w:lineRule="auto"/>
      </w:pPr>
      <w:r>
        <w:continuationSeparator/>
      </w:r>
    </w:p>
  </w:footnote>
  <w:footnote w:id="1">
    <w:p w14:paraId="70B69DD0" w14:textId="53BF2585" w:rsidR="00486637" w:rsidRPr="00BB02B2" w:rsidRDefault="00486637" w:rsidP="000F69BB">
      <w:pPr>
        <w:pStyle w:val="Textodenotaderodap"/>
        <w:jc w:val="both"/>
        <w:rPr>
          <w:rFonts w:ascii="Times New Roman" w:hAnsi="Times New Roman"/>
          <w:color w:val="000000" w:themeColor="text1"/>
          <w:sz w:val="18"/>
          <w:szCs w:val="18"/>
        </w:rPr>
      </w:pPr>
      <w:r w:rsidRPr="00BB02B2">
        <w:rPr>
          <w:rStyle w:val="Refdenotaderodap"/>
          <w:rFonts w:ascii="Times New Roman" w:hAnsi="Times New Roman"/>
          <w:color w:val="000000" w:themeColor="text1"/>
        </w:rPr>
        <w:t>a</w:t>
      </w:r>
      <w:r w:rsidRPr="00BB02B2">
        <w:rPr>
          <w:rFonts w:ascii="Times New Roman" w:hAnsi="Times New Roman"/>
          <w:color w:val="000000" w:themeColor="text1"/>
        </w:rPr>
        <w:t xml:space="preserve"> </w:t>
      </w:r>
      <w:r w:rsidRPr="00BB02B2">
        <w:rPr>
          <w:rFonts w:ascii="Times New Roman" w:hAnsi="Times New Roman"/>
          <w:color w:val="000000" w:themeColor="text1"/>
          <w:sz w:val="18"/>
        </w:rPr>
        <w:t xml:space="preserve">Bachelor's degree in Economics from the University of Brasília (UnB). E-mail: </w:t>
      </w:r>
      <w:hyperlink r:id="rId1" w:history="1">
        <w:r w:rsidRPr="00BB02B2">
          <w:rPr>
            <w:rStyle w:val="Hyperlink"/>
            <w:rFonts w:ascii="Times New Roman" w:hAnsi="Times New Roman"/>
            <w:sz w:val="18"/>
          </w:rPr>
          <w:t>vnery5@gmail.com</w:t>
        </w:r>
      </w:hyperlink>
      <w:r w:rsidRPr="00BB02B2">
        <w:rPr>
          <w:rFonts w:ascii="Times New Roman" w:hAnsi="Times New Roman"/>
          <w:color w:val="000000" w:themeColor="text1"/>
          <w:sz w:val="18"/>
        </w:rPr>
        <w:t>.</w:t>
      </w:r>
    </w:p>
  </w:footnote>
  <w:footnote w:id="2">
    <w:p w14:paraId="28D12F12" w14:textId="77C721E0" w:rsidR="00486637" w:rsidRPr="00BB02B2" w:rsidRDefault="00486637" w:rsidP="000F69BB">
      <w:pPr>
        <w:pStyle w:val="Textodenotaderodap"/>
        <w:jc w:val="both"/>
        <w:rPr>
          <w:rFonts w:ascii="Times New Roman" w:hAnsi="Times New Roman"/>
          <w:color w:val="000000" w:themeColor="text1"/>
          <w:sz w:val="18"/>
          <w:szCs w:val="18"/>
        </w:rPr>
      </w:pPr>
      <w:r w:rsidRPr="00BB02B2">
        <w:rPr>
          <w:rStyle w:val="Refdenotaderodap"/>
          <w:rFonts w:ascii="Times New Roman" w:hAnsi="Times New Roman"/>
          <w:color w:val="000000" w:themeColor="text1"/>
          <w:sz w:val="18"/>
        </w:rPr>
        <w:t>b</w:t>
      </w:r>
      <w:r w:rsidRPr="00BB02B2">
        <w:rPr>
          <w:rFonts w:ascii="Times New Roman" w:hAnsi="Times New Roman"/>
          <w:color w:val="000000" w:themeColor="text1"/>
          <w:sz w:val="18"/>
        </w:rPr>
        <w:t xml:space="preserve"> Associate professor at the Department of Economics at the University of Brasília. E-mail: </w:t>
      </w:r>
      <w:hyperlink r:id="rId2" w:history="1">
        <w:r w:rsidRPr="00BB02B2">
          <w:rPr>
            <w:rStyle w:val="Hyperlink"/>
            <w:rFonts w:ascii="Times New Roman" w:hAnsi="Times New Roman"/>
            <w:sz w:val="18"/>
          </w:rPr>
          <w:t>milene@unb.br</w:t>
        </w:r>
      </w:hyperlink>
      <w:r w:rsidRPr="00BB02B2">
        <w:rPr>
          <w:rFonts w:ascii="Times New Roman" w:hAnsi="Times New Roman"/>
          <w:color w:val="000000" w:themeColor="text1"/>
          <w:sz w:val="18"/>
        </w:rPr>
        <w:t>.</w:t>
      </w:r>
    </w:p>
  </w:footnote>
  <w:footnote w:id="3">
    <w:p w14:paraId="2CF89A48" w14:textId="44DAE890" w:rsidR="00595536" w:rsidRPr="00BB02B2" w:rsidRDefault="00595536" w:rsidP="000F69BB">
      <w:pPr>
        <w:pStyle w:val="Textodenotaderodap"/>
        <w:jc w:val="both"/>
        <w:rPr>
          <w:rFonts w:ascii="Times New Roman" w:hAnsi="Times New Roman"/>
          <w:sz w:val="18"/>
          <w:szCs w:val="18"/>
        </w:rPr>
      </w:pPr>
      <w:r w:rsidRPr="00BB02B2">
        <w:rPr>
          <w:rStyle w:val="Refdenotaderodap"/>
          <w:rFonts w:ascii="Times New Roman" w:hAnsi="Times New Roman"/>
          <w:color w:val="000000" w:themeColor="text1"/>
          <w:sz w:val="18"/>
        </w:rPr>
        <w:t>c</w:t>
      </w:r>
      <w:r w:rsidRPr="00BB02B2">
        <w:rPr>
          <w:rFonts w:ascii="Times New Roman" w:hAnsi="Times New Roman"/>
          <w:color w:val="000000" w:themeColor="text1"/>
          <w:sz w:val="18"/>
        </w:rPr>
        <w:t xml:space="preserve"> Planning and research technician at the Directorate of Macroeconomic Studies and Policies (Diretoria de Estudos e Políticas Macroeconômicas - DIMAC) of the Institute of Applied Economic Research (Instituto de Pesquisa Econômica Aplicada - IPEA). E-mail: </w:t>
      </w:r>
      <w:hyperlink r:id="rId3" w:history="1">
        <w:r w:rsidRPr="00BB02B2">
          <w:rPr>
            <w:rStyle w:val="Hyperlink"/>
            <w:rFonts w:ascii="Times New Roman" w:hAnsi="Times New Roman"/>
            <w:sz w:val="18"/>
          </w:rPr>
          <w:t>joao.oliveira@ipea.gv.br</w:t>
        </w:r>
      </w:hyperlink>
      <w:r w:rsidRPr="00BB02B2">
        <w:rPr>
          <w:rFonts w:ascii="Times New Roman" w:hAnsi="Times New Roman"/>
          <w:color w:val="000000" w:themeColor="text1"/>
          <w:sz w:val="18"/>
        </w:rPr>
        <w:t>.</w:t>
      </w:r>
    </w:p>
  </w:footnote>
  <w:footnote w:id="4">
    <w:p w14:paraId="56021576" w14:textId="129FF8C5" w:rsidR="001E7D36" w:rsidRPr="00BB02B2" w:rsidRDefault="001E7D36" w:rsidP="001E7D36">
      <w:pPr>
        <w:pStyle w:val="Textodenotaderodap"/>
        <w:spacing w:before="60" w:after="60"/>
        <w:jc w:val="both"/>
        <w:rPr>
          <w:rFonts w:ascii="Times New Roman" w:hAnsi="Times New Roman"/>
          <w:sz w:val="18"/>
          <w:szCs w:val="18"/>
        </w:rPr>
      </w:pPr>
      <w:r w:rsidRPr="00BB02B2">
        <w:rPr>
          <w:rStyle w:val="Refdenotaderodap"/>
          <w:rFonts w:ascii="Times New Roman" w:hAnsi="Times New Roman"/>
        </w:rPr>
        <w:footnoteRef/>
      </w:r>
      <w:r w:rsidRPr="00BB02B2">
        <w:rPr>
          <w:rFonts w:ascii="Times New Roman" w:hAnsi="Times New Roman"/>
          <w:sz w:val="18"/>
        </w:rPr>
        <w:t xml:space="preserve"> The Energy/Electric sector will be analyzed considering the </w:t>
      </w:r>
      <w:r w:rsidR="003770BD">
        <w:rPr>
          <w:rFonts w:ascii="Times New Roman" w:hAnsi="Times New Roman"/>
          <w:sz w:val="18"/>
        </w:rPr>
        <w:t>“</w:t>
      </w:r>
      <w:r w:rsidRPr="00BB02B2">
        <w:rPr>
          <w:rFonts w:ascii="Times New Roman" w:hAnsi="Times New Roman"/>
          <w:sz w:val="18"/>
        </w:rPr>
        <w:t>Electricity and Gas</w:t>
      </w:r>
      <w:r w:rsidR="003770BD">
        <w:rPr>
          <w:rFonts w:ascii="Times New Roman" w:hAnsi="Times New Roman"/>
          <w:sz w:val="18"/>
        </w:rPr>
        <w:t>”</w:t>
      </w:r>
      <w:r w:rsidRPr="00BB02B2">
        <w:rPr>
          <w:rFonts w:ascii="Times New Roman" w:hAnsi="Times New Roman"/>
          <w:sz w:val="18"/>
        </w:rPr>
        <w:t xml:space="preserve"> sector</w:t>
      </w:r>
      <w:r w:rsidR="003770BD">
        <w:rPr>
          <w:rFonts w:ascii="Times New Roman" w:hAnsi="Times New Roman"/>
          <w:sz w:val="18"/>
        </w:rPr>
        <w:t xml:space="preserve"> in</w:t>
      </w:r>
      <w:r w:rsidRPr="00BB02B2">
        <w:rPr>
          <w:rFonts w:ascii="Times New Roman" w:hAnsi="Times New Roman"/>
          <w:sz w:val="18"/>
        </w:rPr>
        <w:t xml:space="preserve"> IBGE's </w:t>
      </w:r>
      <w:r w:rsidR="00DC2930">
        <w:rPr>
          <w:rFonts w:ascii="Times New Roman" w:hAnsi="Times New Roman"/>
          <w:sz w:val="18"/>
        </w:rPr>
        <w:t xml:space="preserve">2010 </w:t>
      </w:r>
      <w:r w:rsidRPr="00BB02B2">
        <w:rPr>
          <w:rFonts w:ascii="Times New Roman" w:hAnsi="Times New Roman"/>
          <w:sz w:val="18"/>
        </w:rPr>
        <w:t>System of National Accounts (</w:t>
      </w:r>
      <w:r w:rsidRPr="00904C02">
        <w:rPr>
          <w:rFonts w:ascii="Times New Roman" w:hAnsi="Times New Roman"/>
          <w:i/>
          <w:iCs/>
          <w:sz w:val="18"/>
        </w:rPr>
        <w:t>Sistema de Contas Nacionais</w:t>
      </w:r>
      <w:r w:rsidRPr="00BB02B2">
        <w:rPr>
          <w:rFonts w:ascii="Times New Roman" w:hAnsi="Times New Roman"/>
          <w:sz w:val="18"/>
        </w:rPr>
        <w:t xml:space="preserve"> - SCN)</w:t>
      </w:r>
      <w:r w:rsidR="00DC2930">
        <w:rPr>
          <w:rFonts w:ascii="Times New Roman" w:hAnsi="Times New Roman"/>
          <w:sz w:val="18"/>
        </w:rPr>
        <w:t>.</w:t>
      </w:r>
      <w:r w:rsidRPr="00BB02B2">
        <w:rPr>
          <w:rFonts w:ascii="Times New Roman" w:hAnsi="Times New Roman"/>
          <w:sz w:val="18"/>
        </w:rPr>
        <w:t xml:space="preserve"> </w:t>
      </w:r>
      <w:r w:rsidRPr="00904C02">
        <w:rPr>
          <w:rFonts w:ascii="Times New Roman" w:hAnsi="Times New Roman"/>
          <w:i/>
          <w:iCs/>
          <w:sz w:val="18"/>
        </w:rPr>
        <w:t xml:space="preserve">Instituto Brasileiro de Geografia e Estatística </w:t>
      </w:r>
      <w:r w:rsidRPr="00BB02B2">
        <w:rPr>
          <w:rFonts w:ascii="Times New Roman" w:hAnsi="Times New Roman"/>
          <w:sz w:val="18"/>
        </w:rPr>
        <w:t>(IBGE) is the Brazilian Institute of Geography and Statistics, the main provider of statistical data</w:t>
      </w:r>
      <w:r w:rsidR="003770BD">
        <w:rPr>
          <w:rFonts w:ascii="Times New Roman" w:hAnsi="Times New Roman"/>
          <w:sz w:val="18"/>
        </w:rPr>
        <w:t xml:space="preserve"> </w:t>
      </w:r>
      <w:r w:rsidRPr="00BB02B2">
        <w:rPr>
          <w:rFonts w:ascii="Times New Roman" w:hAnsi="Times New Roman"/>
          <w:sz w:val="18"/>
        </w:rPr>
        <w:t>on the Brazilian economy, society, and geography.</w:t>
      </w:r>
    </w:p>
  </w:footnote>
  <w:footnote w:id="5">
    <w:p w14:paraId="73CDC709" w14:textId="77777777" w:rsidR="00347B32" w:rsidRPr="00347B32" w:rsidRDefault="00347B32" w:rsidP="00347B32">
      <w:pPr>
        <w:pStyle w:val="Corpodetexto"/>
        <w:ind w:firstLine="0"/>
        <w:rPr>
          <w:color w:val="000000" w:themeColor="text1"/>
          <w:sz w:val="18"/>
          <w:szCs w:val="16"/>
        </w:rPr>
      </w:pPr>
      <w:r w:rsidRPr="00347B32">
        <w:rPr>
          <w:rStyle w:val="Refdenotaderodap"/>
          <w:sz w:val="18"/>
          <w:szCs w:val="16"/>
        </w:rPr>
        <w:footnoteRef/>
      </w:r>
      <w:r w:rsidRPr="00347B32">
        <w:rPr>
          <w:sz w:val="18"/>
          <w:szCs w:val="16"/>
        </w:rPr>
        <w:t xml:space="preserve"> </w:t>
      </w:r>
      <w:r w:rsidRPr="00347B32">
        <w:rPr>
          <w:color w:val="000000" w:themeColor="text1"/>
          <w:sz w:val="18"/>
          <w:szCs w:val="16"/>
        </w:rPr>
        <w:t xml:space="preserve">The estimation of complete inter-regional matrices for Brazil has only recently been developed, in the sense of subdividing Brazil into its 27 federation units (UFs) and the 68 sectors disclosed by IBGE </w:t>
      </w:r>
      <w:r w:rsidRPr="00347B32">
        <w:rPr>
          <w:color w:val="000000" w:themeColor="text1"/>
          <w:sz w:val="18"/>
          <w:szCs w:val="16"/>
        </w:rPr>
        <w:fldChar w:fldCharType="begin"/>
      </w:r>
      <w:r w:rsidRPr="00347B32">
        <w:rPr>
          <w:color w:val="000000" w:themeColor="text1"/>
          <w:sz w:val="18"/>
          <w:szCs w:val="16"/>
        </w:rPr>
        <w:instrText xml:space="preserve"> ADDIN ZOTERO_ITEM CSL_CITATION {"citationID":"pmtAxbWI","properties":{"formattedCitation":"(HADDAD; J\\uc0\\u218{}NIOR; NASCIMENTO, 2017)","plainCitation":"(HADDAD; JÚNIOR; NASCIMENTO, 2017)","dontUpdate":true,"noteIndex":0},"citationItems":[{"id":93,"uris":["http://zotero.org/users/8767809/items/FG6KJL7I"],"itemData":{"id":93,"type":"article-journal","abstract":"O presente artigo apresenta o processo de estimação de um sistema inter-regional de insumo-produto para os 26 estados brasileiros e o Distrito Federal em condições de informação limitada, utilizando o método IIOAS. O IIOAS é consistente com a matriz de insumo-produto nacional e pode ser construído para qualquer país que publique suas TRUs e possua um sistema de informações setoriais regionalizadas. Posteriormente, analisaram-se as relações comerciais e as estruturas produtivas de cada UF. São Paulo e Rio de janeiro mostraram-se os estados mais autossuficientes. Já Roraima e Tocantins foram os que apresentaram os níveis de autossuficiência mais baixos. No que diz respeito à interdependência regional, Roraima e Acre foram os estados cuja produção apresentou menor dependência em relação à demanda final de outros estados, já Amazonas, Espírito Santo e Mato Grosso foram os estados em que a demanda final de outras UFs e do exterior mais influencia a produção local.","container-title":"Revista Brasileira de Estudos Regionais e Urbanos","ISSN":"2447-7990","issue":"4","language":"pt","license":"Copyright (c) 2018 ABER","note":"number: 4","page":"424-446","source":"www.revistaaber.org.br","title":"Matriz Interestadual de Insumo-Produto para o Brasil: uma aplicação do método IIOAS","title-short":"MATRIZ INTERESTADUAL DE INSUMO-PRODUTO PARA O BRASIL","volume":"11","author":[{"family":"Haddad","given":"Eduardo Amaral"},{"family":"Júnior","given":"Carlos Alberto Gonçalves"},{"family":"Nascimento","given":"Thiago Oliveira"}],"issued":{"date-parts":[["2017"]]}}}],"schema":"https://github.com/citation-style-language/schema/raw/master/csl-citation.json"} </w:instrText>
      </w:r>
      <w:r w:rsidRPr="00347B32">
        <w:rPr>
          <w:color w:val="000000" w:themeColor="text1"/>
          <w:sz w:val="18"/>
          <w:szCs w:val="16"/>
        </w:rPr>
        <w:fldChar w:fldCharType="separate"/>
      </w:r>
      <w:r w:rsidRPr="00347B32">
        <w:rPr>
          <w:rFonts w:cs="Times New Roman"/>
          <w:color w:val="000000" w:themeColor="text1"/>
          <w:sz w:val="18"/>
          <w:szCs w:val="18"/>
        </w:rPr>
        <w:t>(Haddad; Júnior; Nascimento, 2017;</w:t>
      </w:r>
      <w:r w:rsidRPr="00347B32">
        <w:rPr>
          <w:color w:val="000000" w:themeColor="text1"/>
          <w:sz w:val="18"/>
          <w:szCs w:val="16"/>
        </w:rPr>
        <w:fldChar w:fldCharType="end"/>
      </w:r>
      <w:r w:rsidRPr="00347B32">
        <w:rPr>
          <w:color w:val="000000" w:themeColor="text1"/>
          <w:sz w:val="18"/>
          <w:szCs w:val="16"/>
        </w:rPr>
        <w:t xml:space="preserve"> </w:t>
      </w:r>
      <w:r w:rsidRPr="00347B32">
        <w:rPr>
          <w:color w:val="000000" w:themeColor="text1"/>
          <w:sz w:val="18"/>
          <w:szCs w:val="16"/>
        </w:rPr>
        <w:fldChar w:fldCharType="begin"/>
      </w:r>
      <w:r w:rsidRPr="00347B32">
        <w:rPr>
          <w:color w:val="000000" w:themeColor="text1"/>
          <w:sz w:val="18"/>
          <w:szCs w:val="16"/>
        </w:rPr>
        <w:instrText xml:space="preserve"> ADDIN ZOTERO_ITEM CSL_CITATION {"citationID":"GXjZ04Az","properties":{"formattedCitation":"(GUILHOTO et al., 2019)","plainCitation":"(GUILHOTO et al., 2019)","dontUpdate":true,"noteIndex":0},"citationItems":[{"id":78,"uris":["http://zotero.org/users/8767809/items/KEKPARVK",["http://zotero.org/users/8767809/items/KEKPARVK"]],"itemData":{"id":78,"type":"article-journal","container-title":"Economia Aplicada","DOI":"https://doi.org/10.11606/1980-5330/ea139552","issue":"1","page":"83-112","title":"Sistema interestadual de insumo-produto do Brasil: uma aplicação do método SUIT","volume":"23","author":[{"family":"Guilhoto","given":"Joaquim José Martins"},{"family":"Júnior","given":"Carlos Alberto Gonçalves"},{"family":"Imori","given":"Denise"},{"family":"Ussami","given":"Keyi Ando"}],"issued":{"date-parts":[["2019"]]}}}],"schema":"https://github.com/citation-style-language/schema/raw/master/csl-citation.json"} </w:instrText>
      </w:r>
      <w:r w:rsidRPr="00347B32">
        <w:rPr>
          <w:color w:val="000000" w:themeColor="text1"/>
          <w:sz w:val="18"/>
          <w:szCs w:val="16"/>
        </w:rPr>
        <w:fldChar w:fldCharType="separate"/>
      </w:r>
      <w:r w:rsidRPr="00347B32">
        <w:rPr>
          <w:color w:val="000000" w:themeColor="text1"/>
          <w:sz w:val="18"/>
          <w:szCs w:val="16"/>
        </w:rPr>
        <w:t xml:space="preserve">Guilhoto </w:t>
      </w:r>
      <w:r w:rsidRPr="00347B32">
        <w:rPr>
          <w:i/>
          <w:color w:val="000000" w:themeColor="text1"/>
          <w:sz w:val="18"/>
          <w:szCs w:val="16"/>
        </w:rPr>
        <w:t>et al.</w:t>
      </w:r>
      <w:r w:rsidRPr="00347B32">
        <w:rPr>
          <w:color w:val="000000" w:themeColor="text1"/>
          <w:sz w:val="18"/>
          <w:szCs w:val="16"/>
        </w:rPr>
        <w:t>, 2019)</w:t>
      </w:r>
      <w:r w:rsidRPr="00347B32">
        <w:rPr>
          <w:color w:val="000000" w:themeColor="text1"/>
          <w:sz w:val="18"/>
          <w:szCs w:val="16"/>
        </w:rPr>
        <w:fldChar w:fldCharType="end"/>
      </w:r>
      <w:r w:rsidRPr="00347B32">
        <w:rPr>
          <w:color w:val="000000" w:themeColor="text1"/>
          <w:sz w:val="18"/>
          <w:szCs w:val="16"/>
        </w:rPr>
        <w:t xml:space="preserve">. Previous studies generally comprised only one macro-region </w:t>
      </w:r>
      <w:r w:rsidRPr="00347B32">
        <w:rPr>
          <w:color w:val="000000" w:themeColor="text1"/>
          <w:sz w:val="18"/>
          <w:szCs w:val="16"/>
        </w:rPr>
        <w:fldChar w:fldCharType="begin"/>
      </w:r>
      <w:r w:rsidRPr="00347B32">
        <w:rPr>
          <w:color w:val="000000" w:themeColor="text1"/>
          <w:sz w:val="18"/>
          <w:szCs w:val="16"/>
        </w:rPr>
        <w:instrText xml:space="preserve"> ADDIN ZOTERO_ITEM CSL_CITATION {"citationID":"7jTxKSmM","properties":{"formattedCitation":"(GUILHOTO et al., 2010)","plainCitation":"(GUILHOTO et al., 2010)","noteIndex":2},"citationItems":[{"id":97,"uris":["http://zotero.org/users/8767809/items/LR8F8AI2"],"itemData":{"id":97,"type":"article","abstract":"This paper, in Portuguese, main goal is to perform a structural analysis of the Brazilian Northeastern region economy, adding in this way to the empirical knowledge of conceptual studies that emphasize the socio-economic progress of the Northeast region and its states.","DOI":"10.2139/ssrn.1853629","language":"en","source":"Social Science Research Network","title":"Matriz de Insumo-Produto do Nordeste e Estados: Metodologia e Resultados","title-short":"Matriz de Insumo-Produto do Nordeste e Estados","URL":"https://papers.ssrn.com/abstract=1853629","author":[{"family":"Guilhoto","given":"Joaquim"},{"family":"Azzoni","given":"Carlos Roberto"},{"family":"Ichihara","given":"Silvio Massaru"},{"family":"Kadota","given":"Decio Katsushigue"},{"family":"Haddad","given":"Eduardo A."}],"accessed":{"date-parts":[["2023",12,21]]},"issued":{"date-parts":[["2010",12,1]]}}}],"schema":"https://github.com/citation-style-language/schema/raw/master/csl-citation.json"} </w:instrText>
      </w:r>
      <w:r w:rsidRPr="00347B32">
        <w:rPr>
          <w:color w:val="000000" w:themeColor="text1"/>
          <w:sz w:val="18"/>
          <w:szCs w:val="16"/>
        </w:rPr>
        <w:fldChar w:fldCharType="separate"/>
      </w:r>
      <w:r w:rsidRPr="00347B32">
        <w:rPr>
          <w:color w:val="000000" w:themeColor="text1"/>
          <w:sz w:val="18"/>
          <w:szCs w:val="16"/>
        </w:rPr>
        <w:t xml:space="preserve">(Guilhoto </w:t>
      </w:r>
      <w:r w:rsidRPr="00347B32">
        <w:rPr>
          <w:i/>
          <w:color w:val="000000" w:themeColor="text1"/>
          <w:sz w:val="18"/>
          <w:szCs w:val="16"/>
        </w:rPr>
        <w:t>et al.</w:t>
      </w:r>
      <w:r w:rsidRPr="00347B32">
        <w:rPr>
          <w:color w:val="000000" w:themeColor="text1"/>
          <w:sz w:val="18"/>
          <w:szCs w:val="16"/>
        </w:rPr>
        <w:t>, 2010)</w:t>
      </w:r>
      <w:r w:rsidRPr="00347B32">
        <w:rPr>
          <w:color w:val="000000" w:themeColor="text1"/>
          <w:sz w:val="18"/>
          <w:szCs w:val="16"/>
        </w:rPr>
        <w:fldChar w:fldCharType="end"/>
      </w:r>
      <w:r w:rsidRPr="00347B32">
        <w:rPr>
          <w:color w:val="000000" w:themeColor="text1"/>
          <w:sz w:val="18"/>
          <w:szCs w:val="16"/>
        </w:rPr>
        <w:t xml:space="preserve">, made a comparison between a single state and the rest of Brazil </w:t>
      </w:r>
      <w:r w:rsidRPr="00347B32">
        <w:rPr>
          <w:color w:val="000000" w:themeColor="text1"/>
          <w:sz w:val="18"/>
          <w:szCs w:val="16"/>
        </w:rPr>
        <w:fldChar w:fldCharType="begin"/>
      </w:r>
      <w:r w:rsidRPr="00347B32">
        <w:rPr>
          <w:color w:val="000000" w:themeColor="text1"/>
          <w:sz w:val="18"/>
          <w:szCs w:val="16"/>
        </w:rPr>
        <w:instrText xml:space="preserve"> ADDIN ZOTERO_ITEM CSL_CITATION {"citationID":"tNPWZKFv","properties":{"formattedCitation":"(CARVALHO; PEROBELLI, 2009)","plainCitation":"(CARVALHO; PEROBELLI, 2009)","noteIndex":2},"citationItems":[{"id":103,"uris":["http://zotero.org/users/8767809/items/6ZZ4DMNP"],"itemData":{"id":103,"type":"article-journal","abstract":"Este trabalho quantifica as emissões de CO2 decorrentes do consumo de combustíveis energéticos, considerando um modelo de insumo-produto inter-regional híbrido para São Paulo e o restante do Brasil, utilizando a matriz de 1996. É calculada a intensidade de emissões de dióxido de carbono para 15 setores, identificando a parcela de emissões totais devida à demanda final e ao consumo intermediário. Além disso, foram calculados os setores-chave nasemissõespormeio do cálculo das elasticidades,identificando os setores deAgropecuária, Siderurgia, Alimentos e Bebidas, Outros Setores e Transportes nas duas regiões analisadas. Também foi verificada a quantidade de CO2 incorporada nas exportações, mostrando que a pauta de exportações brasileira é, em grande parte, intensiva em poluição.","container-title":"Economia Aplicada","DOI":"10.1590/S1413-80502009000100005","ISSN":"1413-8050, 1980-5330","journalAbbreviation":"Econ. Apl.","language":"pt","note":"publisher: Faculdade de Economia, Administração e Contabilidade de Ribeirão Preto da Universidade de São Paulo","page":"99-124","source":"SciELO","title":"Avaliação da intensidade de emissões de CO2 setoriais e na estrutura de exportações: um modelo interregional de insumo-produto São Paulo/restante do Brasil","title-short":"Avaliação da intensidade de emissões de CO2 setoriais e na estrutura de exportações","volume":"13","author":[{"family":"Carvalho","given":"Terciane Sabadini"},{"family":"Perobelli","given":"Fernando Salgueiro"}],"issued":{"date-parts":[["2009",3]]}}}],"schema":"https://github.com/citation-style-language/schema/raw/master/csl-citation.json"} </w:instrText>
      </w:r>
      <w:r w:rsidRPr="00347B32">
        <w:rPr>
          <w:color w:val="000000" w:themeColor="text1"/>
          <w:sz w:val="18"/>
          <w:szCs w:val="16"/>
        </w:rPr>
        <w:fldChar w:fldCharType="separate"/>
      </w:r>
      <w:r w:rsidRPr="00347B32">
        <w:rPr>
          <w:color w:val="000000" w:themeColor="text1"/>
          <w:sz w:val="18"/>
          <w:szCs w:val="16"/>
        </w:rPr>
        <w:t>(Carvalho; Perobelli, 2009)</w:t>
      </w:r>
      <w:r w:rsidRPr="00347B32">
        <w:rPr>
          <w:color w:val="000000" w:themeColor="text1"/>
          <w:sz w:val="18"/>
          <w:szCs w:val="16"/>
        </w:rPr>
        <w:fldChar w:fldCharType="end"/>
      </w:r>
      <w:r w:rsidRPr="00347B32">
        <w:rPr>
          <w:color w:val="000000" w:themeColor="text1"/>
          <w:sz w:val="18"/>
          <w:szCs w:val="16"/>
        </w:rPr>
        <w:t xml:space="preserve"> or analyzed a smaller number of productive sectors </w:t>
      </w:r>
      <w:r w:rsidRPr="00347B32">
        <w:rPr>
          <w:color w:val="000000" w:themeColor="text1"/>
          <w:sz w:val="18"/>
          <w:szCs w:val="16"/>
        </w:rPr>
        <w:fldChar w:fldCharType="begin"/>
      </w:r>
      <w:r w:rsidRPr="00347B32">
        <w:rPr>
          <w:color w:val="000000" w:themeColor="text1"/>
          <w:sz w:val="18"/>
          <w:szCs w:val="16"/>
        </w:rPr>
        <w:instrText xml:space="preserve"> ADDIN ZOTERO_ITEM CSL_CITATION {"citationID":"ZXvIGmug","properties":{"formattedCitation":"(PEROBELLI et al., 2010)","plainCitation":"(PEROBELLI et al., 2010)","noteIndex":2},"citationItems":[{"id":101,"uris":["http://zotero.org/users/8767809/items/BEBCT6PK"],"itemData":{"id":101,"type":"article-journal","abstract":"Este artigo tem por objetivo principal identificar e calcular a evolução das interdependências inter-regionais para a economia brasileira a partir de uma matriz interestadual de insumo-produto, para os anos de 1996 e 2002. Tais matrizes foram elaboradas pela Fundação Instituto de Pesquisas Econômicas (Fipe) da Universidade de São Paulo (USP) e apresentam uma abertura para 8 setores e 27 Unidades da Federação (UFs). Este artigo busca analisar a questão das interações entre as UFs de forma ampla e para tal propõe fazê-lo em duas etapas. A etapa I será baseada no método de extração hipotética (ver DIETZENBACHER; VAN DER LINDEN; STEENGE, 1993; PEROBELLI; HADDAD; DOMINGUES, 2006) que fornecerá a estrutura das interações entre as UFs. A etapa II da pesquisa consistirá em colocar de forma explícita no modelo de insumo-produto a questão da distância que é importante para a análise das interações e que, como é sabido, não consta da metodologia de insumo-produto. Para tal, se pretende espacializar os resultados do método de extração aplicado à matriz de insumo-produto por meio do cálculo dos indicadores globais e locais de associação geográfica.","container-title":"Pesquisa e Planejamento Econômico","language":"pt-BR","license":"Instituto de Pesquisa Econômica Aplicada (Ipea)","note":"Accepted: 2015-10-30T00:40:56Z\npublisher: Instituto de Pesquisa Econômica Aplicada (Ipea)","source":"repositorio.ipea.gov.br","title":"Estrutura de interdependência inter-regional no Brasil : uma análise espacial de insumo-produto para os anos de 1996 e 2002","title-short":"Estrutura de interdependência inter-regional no Brasil","URL":"https://repositorio.ipea.gov.br/handle/11058/5101","author":[{"family":"Perobelli","given":"Fernando Salgueiro"},{"family":"Haddad","given":"Eduardo Amaral"},{"family":"Mota","given":"Glaucia Possas","dropping-particle":"da"},{"family":"Farinazzo","given":"Rodrigo Antônio"}],"accessed":{"date-parts":[["2023",12,21]]},"issued":{"date-parts":[["2010",8]]}}}],"schema":"https://github.com/citation-style-language/schema/raw/master/csl-citation.json"} </w:instrText>
      </w:r>
      <w:r w:rsidRPr="00347B32">
        <w:rPr>
          <w:color w:val="000000" w:themeColor="text1"/>
          <w:sz w:val="18"/>
          <w:szCs w:val="16"/>
        </w:rPr>
        <w:fldChar w:fldCharType="separate"/>
      </w:r>
      <w:r w:rsidRPr="00347B32">
        <w:rPr>
          <w:color w:val="000000" w:themeColor="text1"/>
          <w:sz w:val="18"/>
          <w:szCs w:val="16"/>
        </w:rPr>
        <w:t xml:space="preserve">(Perobelli </w:t>
      </w:r>
      <w:r w:rsidRPr="00347B32">
        <w:rPr>
          <w:i/>
          <w:color w:val="000000" w:themeColor="text1"/>
          <w:sz w:val="18"/>
          <w:szCs w:val="16"/>
        </w:rPr>
        <w:t>et al.</w:t>
      </w:r>
      <w:r w:rsidRPr="00347B32">
        <w:rPr>
          <w:color w:val="000000" w:themeColor="text1"/>
          <w:sz w:val="18"/>
          <w:szCs w:val="16"/>
        </w:rPr>
        <w:t>, 2010)</w:t>
      </w:r>
      <w:r w:rsidRPr="00347B32">
        <w:rPr>
          <w:color w:val="000000" w:themeColor="text1"/>
          <w:sz w:val="18"/>
          <w:szCs w:val="16"/>
        </w:rPr>
        <w:fldChar w:fldCharType="end"/>
      </w:r>
      <w:r w:rsidRPr="00347B32">
        <w:rPr>
          <w:color w:val="000000" w:themeColor="text1"/>
          <w:sz w:val="18"/>
          <w:szCs w:val="16"/>
        </w:rPr>
        <w:t>.</w:t>
      </w:r>
    </w:p>
    <w:p w14:paraId="00022D1E" w14:textId="38599A95" w:rsidR="00347B32" w:rsidRDefault="00347B32">
      <w:pPr>
        <w:pStyle w:val="Textodenotaderodap"/>
      </w:pPr>
    </w:p>
  </w:footnote>
  <w:footnote w:id="6">
    <w:p w14:paraId="1AB0D40D" w14:textId="77777777" w:rsidR="000B22B5" w:rsidRPr="00BB02B2" w:rsidRDefault="000B22B5" w:rsidP="000B22B5">
      <w:pPr>
        <w:pStyle w:val="Textodenotaderodap"/>
        <w:jc w:val="both"/>
        <w:rPr>
          <w:rFonts w:ascii="Times New Roman" w:hAnsi="Times New Roman"/>
        </w:rPr>
      </w:pPr>
      <w:r w:rsidRPr="00BB02B2">
        <w:rPr>
          <w:rStyle w:val="Refdenotaderodap"/>
          <w:rFonts w:ascii="Times New Roman" w:hAnsi="Times New Roman"/>
          <w:color w:val="000000" w:themeColor="text1"/>
          <w:sz w:val="18"/>
          <w:szCs w:val="18"/>
        </w:rPr>
        <w:footnoteRef/>
      </w:r>
      <w:r w:rsidRPr="00BB02B2">
        <w:rPr>
          <w:rFonts w:ascii="Times New Roman" w:hAnsi="Times New Roman"/>
          <w:color w:val="000000" w:themeColor="text1"/>
          <w:sz w:val="18"/>
        </w:rPr>
        <w:t xml:space="preserve"> In addition to the renewable and non-renewable division, BEN presents a 3rd category (“Others”, with approximately 2% of the total) which is not shown in Table 1. Therefore, the sum of the percentages of renewable and non-renewable generation for Brazil is less than 100%.</w:t>
      </w:r>
    </w:p>
  </w:footnote>
  <w:footnote w:id="7">
    <w:p w14:paraId="1C7FAD57" w14:textId="07F38B2D" w:rsidR="005E09CC" w:rsidRPr="00BB02B2" w:rsidRDefault="005E09CC" w:rsidP="00F80C3B">
      <w:pPr>
        <w:pStyle w:val="RODAP0"/>
      </w:pPr>
      <w:r w:rsidRPr="00BB02B2">
        <w:rPr>
          <w:rStyle w:val="Refdenotaderodap"/>
        </w:rPr>
        <w:footnoteRef/>
      </w:r>
      <w:r w:rsidRPr="00BB02B2">
        <w:t xml:space="preserve"> The solar source was omitted because it represented only 1% of the national matrix in 2019 and had high </w:t>
      </w:r>
      <w:r w:rsidR="00FC5A28">
        <w:t>growth rates</w:t>
      </w:r>
      <w:r w:rsidRPr="00BB02B2">
        <w:t xml:space="preserve">, which distorted the scale. Despite the great generation potential in Brazil, the </w:t>
      </w:r>
      <w:r w:rsidR="00183241">
        <w:t>production</w:t>
      </w:r>
      <w:r w:rsidRPr="00BB02B2">
        <w:t xml:space="preserve"> of solar electricity still suffers from relatively high costs and a lack of government incentives, especially compared to those aimed at wind energy </w:t>
      </w:r>
      <w:r w:rsidRPr="00BB02B2">
        <w:fldChar w:fldCharType="begin"/>
      </w:r>
      <w:r w:rsidRPr="00BB02B2">
        <w:instrText xml:space="preserve"> ADDIN ZOTERO_ITEM CSL_CITATION {"citationID":"wvXsTVoe","properties":{"formattedCitation":"(SILVA; NETO; SEIFERT, 2016)","plainCitation":"(SILVA; NETO; SEIFERT, 2016)","noteIndex":4},"citationItems":[{"id":113,"uris":["http://zotero.org/users/8767809/items/6ZEV3AKD"],"itemData":{"id":113,"type":"article-journal","abstract":"Hydropower is the backbone of the Brazilian electricity generation sector. Even though the use of this resource is advantaged in terms of greenhouse gas emissions, last years׳ severe droughts have exposed the country׳s huge dependency on hydroelectricity. Brazil׳s electricity supply system has shown to be vulnerable to electricity shortages and has demanded significant overhaul in order to address its challenges. The present paper provides a comprehensive review of the current status of the Brazilian electricity sector and discusses diversification of electricity generation mix as a strategy to improve electricity supply security in the country. An overview of the main features of the energy sources applied in Brazil is also presented through a review of the latest available generation data. The central section of this work is a discussion of the main causes of the current crisis and the future role of renewable energy sources in a 10-year perspective.","container-title":"Renewable and Sustainable Energy Reviews","DOI":"10.1016/j.rser.2016.01.001","ISSN":"1364-0321","journalAbbreviation":"Renewable and Sustainable Energy Reviews","page":"328-341","source":"ScienceDirect","title":"Electricity supply security and the future role of renewable energy sources in Brazil","volume":"59","author":[{"family":"Silva","given":"Rodrigo"},{"family":"Neto","given":"Ismael"},{"family":"Seifert","given":"Stephan"}],"issued":{"date-parts":[["2016",6,1]]}}}],"schema":"https://github.com/citation-style-language/schema/raw/master/csl-citation.json"} </w:instrText>
      </w:r>
      <w:r w:rsidRPr="00BB02B2">
        <w:fldChar w:fldCharType="separate"/>
      </w:r>
      <w:r w:rsidRPr="00BB02B2">
        <w:t>(</w:t>
      </w:r>
      <w:r w:rsidR="00183241">
        <w:t>Silva</w:t>
      </w:r>
      <w:r w:rsidRPr="00BB02B2">
        <w:t xml:space="preserve">; </w:t>
      </w:r>
      <w:r w:rsidR="00183241">
        <w:t>Neto</w:t>
      </w:r>
      <w:r w:rsidRPr="00BB02B2">
        <w:t xml:space="preserve">; </w:t>
      </w:r>
      <w:r w:rsidR="00183241">
        <w:t>Seifert</w:t>
      </w:r>
      <w:r w:rsidRPr="00BB02B2">
        <w:t>, 2016)</w:t>
      </w:r>
      <w:r w:rsidRPr="00BB02B2">
        <w:fldChar w:fldCharType="end"/>
      </w:r>
      <w:r w:rsidRPr="00BB02B2">
        <w:t>.</w:t>
      </w:r>
    </w:p>
  </w:footnote>
  <w:footnote w:id="8">
    <w:p w14:paraId="3B1FA267" w14:textId="07C35E19" w:rsidR="00484BCE" w:rsidRPr="00BB02B2" w:rsidRDefault="00484BCE" w:rsidP="00F80C3B">
      <w:pPr>
        <w:pStyle w:val="RODAP0"/>
      </w:pPr>
      <w:r w:rsidRPr="00BB02B2">
        <w:rPr>
          <w:rStyle w:val="Refdenotaderodap"/>
        </w:rPr>
        <w:footnoteRef/>
      </w:r>
      <w:r w:rsidRPr="00BB02B2">
        <w:rPr>
          <w:rStyle w:val="Refdenotaderodap"/>
          <w:vertAlign w:val="baseline"/>
        </w:rPr>
        <w:t xml:space="preserve"> Production in the Electricity &amp; Gas sector was</w:t>
      </w:r>
      <w:r w:rsidR="003F29AF">
        <w:t xml:space="preserve"> first</w:t>
      </w:r>
      <w:r w:rsidRPr="00BB02B2">
        <w:rPr>
          <w:rStyle w:val="Refdenotaderodap"/>
          <w:vertAlign w:val="baseline"/>
        </w:rPr>
        <w:t xml:space="preserve"> deflated to 2010 Reais (BRL) based on a price index vector constructed based on information from Tables 1 and 3 of the </w:t>
      </w:r>
      <w:r w:rsidR="00020BFE">
        <w:rPr>
          <w:rStyle w:val="Refdenotaderodap"/>
          <w:vertAlign w:val="baseline"/>
        </w:rPr>
        <w:t>U</w:t>
      </w:r>
      <w:r w:rsidR="00020BFE">
        <w:t>ses and Resources</w:t>
      </w:r>
      <w:r w:rsidRPr="00BB02B2">
        <w:rPr>
          <w:rStyle w:val="Refdenotaderodap"/>
          <w:vertAlign w:val="baseline"/>
        </w:rPr>
        <w:t xml:space="preserve"> Tables (</w:t>
      </w:r>
      <w:r w:rsidRPr="003F29AF">
        <w:rPr>
          <w:rStyle w:val="Refdenotaderodap"/>
          <w:i/>
          <w:iCs/>
          <w:vertAlign w:val="baseline"/>
        </w:rPr>
        <w:t>Tabelas de Recursos e Usos</w:t>
      </w:r>
      <w:r w:rsidRPr="00BB02B2">
        <w:rPr>
          <w:rStyle w:val="Refdenotaderodap"/>
          <w:vertAlign w:val="baseline"/>
        </w:rPr>
        <w:t xml:space="preserve"> - TRUs), which contains data at current prices and to values ​​from the previous year.</w:t>
      </w:r>
    </w:p>
  </w:footnote>
  <w:footnote w:id="9">
    <w:p w14:paraId="1BABA7BD" w14:textId="5BA4B3CB" w:rsidR="00CF15BB" w:rsidRPr="00BB02B2" w:rsidRDefault="00CF15BB" w:rsidP="00F80C3B">
      <w:pPr>
        <w:pStyle w:val="RODAP0"/>
      </w:pPr>
      <w:r w:rsidRPr="00BB02B2">
        <w:rPr>
          <w:rStyle w:val="Refdenotaderodap"/>
        </w:rPr>
        <w:footnoteRef/>
      </w:r>
      <w:r w:rsidRPr="00BB02B2">
        <w:rPr>
          <w:vertAlign w:val="superscript"/>
        </w:rPr>
        <w:t xml:space="preserve"> </w:t>
      </w:r>
      <w:r w:rsidRPr="00BB02B2">
        <w:t xml:space="preserve">Currently, IOTs are published in three dimensions: </w:t>
      </w:r>
      <m:oMath>
        <m:r>
          <m:rPr>
            <m:sty m:val="p"/>
          </m:rPr>
          <w:rPr>
            <w:rFonts w:ascii="Cambria Math" w:hAnsi="Cambria Math"/>
          </w:rPr>
          <m:t>12×12</m:t>
        </m:r>
      </m:oMath>
      <w:r w:rsidRPr="00BB02B2">
        <w:t xml:space="preserve">, </w:t>
      </w:r>
      <m:oMath>
        <m:r>
          <m:rPr>
            <m:sty m:val="p"/>
          </m:rPr>
          <w:rPr>
            <w:rFonts w:ascii="Cambria Math" w:hAnsi="Cambria Math"/>
          </w:rPr>
          <m:t>20×20</m:t>
        </m:r>
      </m:oMath>
      <w:r w:rsidRPr="00BB02B2">
        <w:t xml:space="preserve"> </w:t>
      </w:r>
      <w:r w:rsidR="00BB02B2" w:rsidRPr="00BB02B2">
        <w:t>and</w:t>
      </w:r>
      <w:r w:rsidRPr="00BB02B2">
        <w:t xml:space="preserve"> </w:t>
      </w:r>
      <m:oMath>
        <m:r>
          <m:rPr>
            <m:sty m:val="p"/>
          </m:rPr>
          <w:rPr>
            <w:rFonts w:ascii="Cambria Math" w:hAnsi="Cambria Math"/>
          </w:rPr>
          <m:t>128×68</m:t>
        </m:r>
      </m:oMath>
      <w:r w:rsidRPr="00BB02B2">
        <w:t>. In addition, in the 2010 SCN, IBGE also published retropolated TRUs up to the year 2000, with 107 products and 51 sectors.</w:t>
      </w:r>
    </w:p>
  </w:footnote>
  <w:footnote w:id="10">
    <w:p w14:paraId="234EBC9A" w14:textId="77777777" w:rsidR="00CF15BB" w:rsidRPr="00BB02B2" w:rsidRDefault="00CF15BB" w:rsidP="00F80C3B">
      <w:pPr>
        <w:pStyle w:val="RODAP0"/>
      </w:pPr>
      <w:r w:rsidRPr="00BB02B2">
        <w:rPr>
          <w:rStyle w:val="Refdenotaderodap"/>
        </w:rPr>
        <w:footnoteRef/>
      </w:r>
      <w:r w:rsidRPr="00BB02B2">
        <w:t xml:space="preserve"> The resource matrix shows the output of the economy at the level of sectors and products.</w:t>
      </w:r>
    </w:p>
  </w:footnote>
  <w:footnote w:id="11">
    <w:p w14:paraId="1EA6299A" w14:textId="6E27DA1E" w:rsidR="00CF15BB" w:rsidRPr="00BB02B2" w:rsidRDefault="00CF15BB" w:rsidP="00F80C3B">
      <w:pPr>
        <w:pStyle w:val="RODAP0"/>
      </w:pPr>
      <w:r w:rsidRPr="00BB02B2">
        <w:rPr>
          <w:rStyle w:val="Refdenotaderodap"/>
        </w:rPr>
        <w:footnoteRef/>
      </w:r>
      <w:r w:rsidRPr="00BB02B2">
        <w:t xml:space="preserve"> The uses matrix presents the total demand of the economy, i</w:t>
      </w:r>
      <w:r w:rsidR="00BB02B2" w:rsidRPr="00BB02B2">
        <w:t>.</w:t>
      </w:r>
      <w:r w:rsidRPr="00BB02B2">
        <w:t>e.</w:t>
      </w:r>
      <w:r w:rsidR="00D96B1C">
        <w:t>,</w:t>
      </w:r>
      <w:r w:rsidRPr="00BB02B2">
        <w:t xml:space="preserve"> intermediate consumption and final demand.</w:t>
      </w:r>
    </w:p>
  </w:footnote>
  <w:footnote w:id="12">
    <w:p w14:paraId="6796C1A0" w14:textId="17E5B47F" w:rsidR="00CF15BB" w:rsidRPr="00BB02B2" w:rsidRDefault="00CF15BB" w:rsidP="00F80C3B">
      <w:pPr>
        <w:pStyle w:val="RODAP0"/>
      </w:pPr>
      <w:r w:rsidRPr="00BB02B2">
        <w:rPr>
          <w:rStyle w:val="Refdenotaderodap"/>
        </w:rPr>
        <w:footnoteRef/>
      </w:r>
      <w:r w:rsidRPr="00BB02B2">
        <w:t xml:space="preserve"> For example, IBGE rounds demand/production values ​​lower than </w:t>
      </w:r>
      <w:r w:rsidR="00FD318E">
        <w:t>BRL</w:t>
      </w:r>
      <w:r w:rsidR="00F1504D">
        <w:t xml:space="preserve"> </w:t>
      </w:r>
      <w:r w:rsidRPr="00BB02B2">
        <w:t>500</w:t>
      </w:r>
      <w:r w:rsidR="00F1504D">
        <w:t xml:space="preserve">,000 </w:t>
      </w:r>
      <w:r w:rsidRPr="00BB02B2">
        <w:t xml:space="preserve">to 0. As a result, a cell may show positive values at current prices but zero at prices from the previous year, or vice versa. </w:t>
      </w:r>
    </w:p>
  </w:footnote>
  <w:footnote w:id="13">
    <w:p w14:paraId="60BB3E05" w14:textId="77777777" w:rsidR="001F7164" w:rsidRPr="00BB02B2" w:rsidRDefault="001F7164" w:rsidP="001F7164">
      <w:pPr>
        <w:pStyle w:val="RODAP0"/>
      </w:pPr>
      <w:r w:rsidRPr="00BB02B2">
        <w:rPr>
          <w:rStyle w:val="Refdenotaderodap"/>
        </w:rPr>
        <w:footnoteRef/>
      </w:r>
      <w:r w:rsidRPr="00BB02B2">
        <w:t xml:space="preserve"> The paper provides an overview of inter-regional estimation methods – with a focus on SUIT –, as well as presenting the evolution of the literature over time and a series of national and international applications.</w:t>
      </w:r>
    </w:p>
  </w:footnote>
  <w:footnote w:id="14">
    <w:p w14:paraId="55C93923" w14:textId="77777777" w:rsidR="002949D0" w:rsidRPr="00BB02B2" w:rsidRDefault="002949D0" w:rsidP="002949D0">
      <w:pPr>
        <w:pStyle w:val="RODAP0"/>
      </w:pPr>
      <w:r w:rsidRPr="00BB02B2">
        <w:rPr>
          <w:rStyle w:val="Refdenotaderodap"/>
        </w:rPr>
        <w:footnoteRef/>
      </w:r>
      <w:r w:rsidRPr="00BB02B2">
        <w:t xml:space="preserve"> The average of the coefficients was chosen because there were no significant changes over the decade.</w:t>
      </w:r>
    </w:p>
  </w:footnote>
  <w:footnote w:id="15">
    <w:p w14:paraId="23A1D700" w14:textId="77777777" w:rsidR="002949D0" w:rsidRPr="00BB02B2" w:rsidRDefault="002949D0" w:rsidP="002949D0">
      <w:pPr>
        <w:pStyle w:val="Textodenotaderodap"/>
        <w:jc w:val="both"/>
        <w:rPr>
          <w:rFonts w:ascii="Times New Roman" w:hAnsi="Times New Roman"/>
        </w:rPr>
      </w:pPr>
      <w:r w:rsidRPr="00BB02B2">
        <w:rPr>
          <w:rStyle w:val="Refdenotaderodap"/>
          <w:rFonts w:ascii="Times New Roman" w:hAnsi="Times New Roman"/>
        </w:rPr>
        <w:footnoteRef/>
      </w:r>
      <w:r w:rsidRPr="00BB02B2">
        <w:rPr>
          <w:rFonts w:ascii="Times New Roman" w:hAnsi="Times New Roman"/>
          <w:color w:val="000000" w:themeColor="text1"/>
          <w:sz w:val="18"/>
        </w:rPr>
        <w:t xml:space="preserve"> Both articles use a broader notion of “energy sector” with more aggregated matrices.</w:t>
      </w:r>
    </w:p>
  </w:footnote>
  <w:footnote w:id="16">
    <w:p w14:paraId="701CADFD" w14:textId="05651A23" w:rsidR="00E20945" w:rsidRPr="00BB02B2" w:rsidRDefault="00E20945" w:rsidP="00E20945">
      <w:pPr>
        <w:pStyle w:val="RODAP0"/>
      </w:pPr>
      <w:r w:rsidRPr="00BB02B2">
        <w:rPr>
          <w:rStyle w:val="Refdenotaderodap"/>
        </w:rPr>
        <w:footnoteRef/>
      </w:r>
      <w:r w:rsidRPr="00BB02B2">
        <w:t xml:space="preserve"> As it is a</w:t>
      </w:r>
      <w:r w:rsidR="00FD46FF">
        <w:t>n</w:t>
      </w:r>
      <w:r w:rsidRPr="00BB02B2">
        <w:t xml:space="preserve"> arithmetic mean, </w:t>
      </w:r>
      <m:oMath>
        <m:bar>
          <m:barPr>
            <m:pos m:val="top"/>
            <m:ctrlPr>
              <w:rPr>
                <w:rFonts w:ascii="Cambria Math" w:hAnsi="Cambria Math"/>
              </w:rPr>
            </m:ctrlPr>
          </m:barPr>
          <m:e>
            <m:r>
              <w:rPr>
                <w:rFonts w:ascii="Cambria Math" w:hAnsi="Cambria Math"/>
              </w:rPr>
              <m:t>PTL</m:t>
            </m:r>
          </m:e>
        </m:bar>
      </m:oMath>
      <w:r w:rsidRPr="00BB02B2">
        <w:t xml:space="preserve"> can be written as </w:t>
      </w:r>
      <m:oMath>
        <m:r>
          <w:rPr>
            <w:rFonts w:ascii="Cambria Math" w:hAnsi="Cambria Math"/>
          </w:rPr>
          <m:t>0,5</m:t>
        </m:r>
        <m:r>
          <m:rPr>
            <m:sty m:val="p"/>
          </m:rPr>
          <w:rPr>
            <w:rFonts w:ascii="Cambria Math" w:hAnsi="Cambria Math"/>
          </w:rPr>
          <m:t>⋅</m:t>
        </m:r>
        <m:d>
          <m:dPr>
            <m:ctrlPr>
              <w:rPr>
                <w:rFonts w:ascii="Cambria Math" w:hAnsi="Cambria Math"/>
                <w:i/>
              </w:rPr>
            </m:ctrlPr>
          </m:dPr>
          <m:e>
            <m:bar>
              <m:barPr>
                <m:pos m:val="top"/>
                <m:ctrlPr>
                  <w:rPr>
                    <w:rFonts w:ascii="Cambria Math" w:hAnsi="Cambria Math"/>
                  </w:rPr>
                </m:ctrlPr>
              </m:barPr>
              <m:e>
                <m:r>
                  <w:rPr>
                    <w:rFonts w:ascii="Cambria Math" w:hAnsi="Cambria Math"/>
                  </w:rPr>
                  <m:t>PBL</m:t>
                </m:r>
              </m:e>
            </m:bar>
            <m:r>
              <m:rPr>
                <m:sty m:val="p"/>
              </m:rPr>
              <w:rPr>
                <w:rFonts w:ascii="Cambria Math" w:hAnsi="Cambria Math"/>
              </w:rPr>
              <m:t>+</m:t>
            </m:r>
            <m:bar>
              <m:barPr>
                <m:pos m:val="top"/>
                <m:ctrlPr>
                  <w:rPr>
                    <w:rFonts w:ascii="Cambria Math" w:hAnsi="Cambria Math"/>
                  </w:rPr>
                </m:ctrlPr>
              </m:barPr>
              <m:e>
                <m:r>
                  <w:rPr>
                    <w:rFonts w:ascii="Cambria Math" w:hAnsi="Cambria Math"/>
                  </w:rPr>
                  <m:t>PFL</m:t>
                </m:r>
              </m:e>
            </m:bar>
          </m:e>
        </m:d>
      </m:oMath>
      <w:r w:rsidRPr="00BB02B2">
        <w:t xml:space="preserve">. Thus, a sector is considered </w:t>
      </w:r>
      <w:r w:rsidR="00FD46FF">
        <w:t xml:space="preserve">a </w:t>
      </w:r>
      <w:r w:rsidRPr="00BB02B2">
        <w:t>key</w:t>
      </w:r>
      <w:r w:rsidR="00FD46FF">
        <w:t xml:space="preserve"> sector</w:t>
      </w:r>
      <w:r w:rsidRPr="00BB02B2">
        <w:t xml:space="preserve"> (</w:t>
      </w:r>
      <m:oMath>
        <m:bar>
          <m:barPr>
            <m:pos m:val="top"/>
            <m:ctrlPr>
              <w:rPr>
                <w:rFonts w:ascii="Cambria Math" w:hAnsi="Cambria Math"/>
              </w:rPr>
            </m:ctrlPr>
          </m:barPr>
          <m:e>
            <m:r>
              <w:rPr>
                <w:rFonts w:ascii="Cambria Math" w:hAnsi="Cambria Math"/>
              </w:rPr>
              <m:t>PTL</m:t>
            </m:r>
          </m:e>
        </m:bar>
        <m:r>
          <w:rPr>
            <w:rFonts w:ascii="Cambria Math" w:hAnsi="Cambria Math"/>
          </w:rPr>
          <m:t xml:space="preserve"> &gt; 1</m:t>
        </m:r>
      </m:oMath>
      <w:r w:rsidRPr="00BB02B2">
        <w:t xml:space="preserve">) when </w:t>
      </w:r>
      <m:oMath>
        <m:bar>
          <m:barPr>
            <m:pos m:val="top"/>
            <m:ctrlPr>
              <w:rPr>
                <w:rFonts w:ascii="Cambria Math" w:hAnsi="Cambria Math"/>
              </w:rPr>
            </m:ctrlPr>
          </m:barPr>
          <m:e>
            <m:r>
              <w:rPr>
                <w:rFonts w:ascii="Cambria Math" w:hAnsi="Cambria Math"/>
              </w:rPr>
              <m:t>PBL</m:t>
            </m:r>
          </m:e>
        </m:bar>
        <m:r>
          <m:rPr>
            <m:sty m:val="p"/>
          </m:rPr>
          <w:rPr>
            <w:rFonts w:ascii="Cambria Math" w:hAnsi="Cambria Math"/>
          </w:rPr>
          <m:t>+</m:t>
        </m:r>
        <m:bar>
          <m:barPr>
            <m:pos m:val="top"/>
            <m:ctrlPr>
              <w:rPr>
                <w:rFonts w:ascii="Cambria Math" w:hAnsi="Cambria Math"/>
              </w:rPr>
            </m:ctrlPr>
          </m:barPr>
          <m:e>
            <m:r>
              <w:rPr>
                <w:rFonts w:ascii="Cambria Math" w:hAnsi="Cambria Math"/>
              </w:rPr>
              <m:t>PFL</m:t>
            </m:r>
          </m:e>
        </m:bar>
        <m:r>
          <m:rPr>
            <m:sty m:val="p"/>
          </m:rPr>
          <w:rPr>
            <w:rFonts w:ascii="Cambria Math" w:hAnsi="Cambria Math"/>
          </w:rPr>
          <m:t>&gt;</m:t>
        </m:r>
        <m:r>
          <w:rPr>
            <w:rFonts w:ascii="Cambria Math" w:hAnsi="Cambria Math"/>
          </w:rPr>
          <m:t>2</m:t>
        </m:r>
      </m:oMath>
      <w:r w:rsidRPr="00BB02B2">
        <w:t xml:space="preserve">, that is, </w:t>
      </w:r>
      <m:oMath>
        <m:bar>
          <m:barPr>
            <m:pos m:val="top"/>
            <m:ctrlPr>
              <w:rPr>
                <w:rFonts w:ascii="Cambria Math" w:hAnsi="Cambria Math"/>
              </w:rPr>
            </m:ctrlPr>
          </m:barPr>
          <m:e>
            <m:r>
              <w:rPr>
                <w:rFonts w:ascii="Cambria Math" w:hAnsi="Cambria Math"/>
              </w:rPr>
              <m:t>PBL</m:t>
            </m:r>
          </m:e>
        </m:bar>
        <m:r>
          <m:rPr>
            <m:sty m:val="p"/>
          </m:rPr>
          <w:rPr>
            <w:rFonts w:ascii="Cambria Math" w:hAnsi="Cambria Math"/>
          </w:rPr>
          <m:t>&gt;</m:t>
        </m:r>
        <m:r>
          <w:rPr>
            <w:rFonts w:ascii="Cambria Math" w:hAnsi="Cambria Math"/>
          </w:rPr>
          <m:t>2</m:t>
        </m:r>
        <m:r>
          <m:rPr>
            <m:sty m:val="p"/>
          </m:rPr>
          <w:rPr>
            <w:rFonts w:ascii="Cambria Math" w:hAnsi="Cambria Math"/>
          </w:rPr>
          <m:t>-</m:t>
        </m:r>
        <m:bar>
          <m:barPr>
            <m:pos m:val="top"/>
            <m:ctrlPr>
              <w:rPr>
                <w:rFonts w:ascii="Cambria Math" w:hAnsi="Cambria Math"/>
              </w:rPr>
            </m:ctrlPr>
          </m:barPr>
          <m:e>
            <m:r>
              <w:rPr>
                <w:rFonts w:ascii="Cambria Math" w:hAnsi="Cambria Math"/>
              </w:rPr>
              <m:t>PFL</m:t>
            </m:r>
          </m:e>
        </m:bar>
      </m:oMath>
      <w:r w:rsidRPr="00BB02B2">
        <w:t>, which justifies the negatively inclined dotted line in the graphs.</w:t>
      </w:r>
    </w:p>
  </w:footnote>
  <w:footnote w:id="17">
    <w:p w14:paraId="30013256" w14:textId="77777777" w:rsidR="00291E23" w:rsidRPr="00BB02B2" w:rsidRDefault="00291E23" w:rsidP="00291E23">
      <w:pPr>
        <w:pStyle w:val="RODAP0"/>
      </w:pPr>
      <w:r w:rsidRPr="00BB02B2">
        <w:rPr>
          <w:rStyle w:val="Refdenotaderodap"/>
        </w:rPr>
        <w:footnoteRef/>
      </w:r>
      <w:r w:rsidRPr="00BB02B2">
        <w:t xml:space="preserve"> As in the case of coefficients of variation, there were not many changes throughout the decade.</w:t>
      </w:r>
    </w:p>
  </w:footnote>
  <w:footnote w:id="18">
    <w:p w14:paraId="50D30BF8" w14:textId="37F3EB43" w:rsidR="004E5986" w:rsidRPr="00BB02B2" w:rsidRDefault="004E5986" w:rsidP="004E5986">
      <w:pPr>
        <w:pStyle w:val="RODAP0"/>
      </w:pPr>
      <w:r w:rsidRPr="00BB02B2">
        <w:rPr>
          <w:rStyle w:val="Refdenotaderodap"/>
        </w:rPr>
        <w:footnoteRef/>
      </w:r>
      <w:r w:rsidRPr="00BB02B2">
        <w:t xml:space="preserve"> This value was calculated from the sum of the electricity sector GFCF in all states in the inter-regional IOT. It should be noted that </w:t>
      </w:r>
      <w:r w:rsidR="00DC63F0">
        <w:t>t</w:t>
      </w:r>
      <w:r w:rsidRPr="00BB02B2">
        <w:t xml:space="preserve">he relative conclusions obtained would be the same with any shock value following the same distribution </w:t>
      </w:r>
      <w:r w:rsidR="00DC63F0">
        <w:t>of this paper</w:t>
      </w:r>
      <w:r w:rsidRPr="00BB02B2">
        <w:t>.</w:t>
      </w:r>
    </w:p>
  </w:footnote>
  <w:footnote w:id="19">
    <w:p w14:paraId="4B7F16CA" w14:textId="157B3E16" w:rsidR="004E5986" w:rsidRPr="00BB02B2" w:rsidRDefault="004E5986" w:rsidP="004E5986">
      <w:pPr>
        <w:pStyle w:val="RODAP0"/>
      </w:pPr>
      <w:r w:rsidRPr="00BB02B2">
        <w:rPr>
          <w:rStyle w:val="Refdenotaderodap"/>
        </w:rPr>
        <w:footnoteRef/>
      </w:r>
      <w:r w:rsidRPr="00BB02B2">
        <w:t xml:space="preserve"> Defined here as the sum of wages (excluding </w:t>
      </w:r>
      <w:r w:rsidR="00AF41B3">
        <w:t>taxes</w:t>
      </w:r>
      <w:r w:rsidRPr="00BB02B2">
        <w:t>), GOSs and mixed income, i.e. the income of self-employed individuals.</w:t>
      </w:r>
    </w:p>
  </w:footnote>
  <w:footnote w:id="20">
    <w:p w14:paraId="659A1A39" w14:textId="58C9D781" w:rsidR="004E5986" w:rsidRPr="00BB02B2" w:rsidRDefault="004E5986" w:rsidP="004E5986">
      <w:pPr>
        <w:pStyle w:val="Textodenotaderodap"/>
        <w:rPr>
          <w:rFonts w:ascii="Times New Roman" w:hAnsi="Times New Roman"/>
          <w:sz w:val="18"/>
          <w:szCs w:val="18"/>
        </w:rPr>
      </w:pPr>
      <w:r w:rsidRPr="00BB02B2">
        <w:rPr>
          <w:rStyle w:val="Refdenotaderodap"/>
          <w:rFonts w:ascii="Times New Roman" w:hAnsi="Times New Roman"/>
          <w:sz w:val="18"/>
          <w:szCs w:val="18"/>
        </w:rPr>
        <w:footnoteRef/>
      </w:r>
      <w:r w:rsidRPr="00BB02B2">
        <w:rPr>
          <w:rFonts w:ascii="Times New Roman" w:hAnsi="Times New Roman"/>
          <w:sz w:val="18"/>
        </w:rPr>
        <w:t xml:space="preserve"> The color scale is different for each analyzed component (such as </w:t>
      </w:r>
      <w:r w:rsidR="002A5DA2">
        <w:rPr>
          <w:rFonts w:ascii="Times New Roman" w:hAnsi="Times New Roman"/>
          <w:sz w:val="18"/>
        </w:rPr>
        <w:t>value added</w:t>
      </w:r>
      <w:r w:rsidRPr="00BB02B2">
        <w:rPr>
          <w:rFonts w:ascii="Times New Roman" w:hAnsi="Times New Roman"/>
          <w:sz w:val="18"/>
        </w:rPr>
        <w:t xml:space="preserve"> and occupations).</w:t>
      </w:r>
    </w:p>
  </w:footnote>
  <w:footnote w:id="21">
    <w:p w14:paraId="66C1D5B8" w14:textId="09CBEB5E" w:rsidR="0010650D" w:rsidRPr="00BB02B2" w:rsidRDefault="0010650D" w:rsidP="0010650D">
      <w:pPr>
        <w:pStyle w:val="RODAP0"/>
      </w:pPr>
      <w:r w:rsidRPr="00BB02B2">
        <w:rPr>
          <w:rStyle w:val="Refdenotaderodap"/>
        </w:rPr>
        <w:footnoteRef/>
      </w:r>
      <w:r w:rsidRPr="00BB02B2">
        <w:t xml:space="preserve"> Since they are extensive, the results of the shocks detailed by variable, sector and region were not included as tables in the </w:t>
      </w:r>
      <w:r w:rsidR="00A952E9" w:rsidRPr="00BB02B2">
        <w:t xml:space="preserve">paper </w:t>
      </w:r>
      <w:r w:rsidR="00702A5B">
        <w:t>but are available upon request</w:t>
      </w:r>
      <w:r w:rsidRPr="00BB02B2">
        <w:t>.</w:t>
      </w:r>
    </w:p>
  </w:footnote>
  <w:footnote w:id="22">
    <w:p w14:paraId="3530EBBB" w14:textId="77777777" w:rsidR="0010650D" w:rsidRPr="00BB02B2" w:rsidRDefault="0010650D" w:rsidP="0010650D">
      <w:pPr>
        <w:pStyle w:val="RODAP0"/>
      </w:pPr>
      <w:r w:rsidRPr="00BB02B2">
        <w:rPr>
          <w:rStyle w:val="Refdenotaderodap"/>
        </w:rPr>
        <w:footnoteRef/>
      </w:r>
      <w:r w:rsidRPr="00BB02B2">
        <w:t xml:space="preserve"> A SHP is defined as one that generates power within the range of 3 to 30 Megawatts (MW). A hydroelectric plant, on the other hand, is defined as having a power output exceeding 30 MW.</w:t>
      </w:r>
    </w:p>
  </w:footnote>
  <w:footnote w:id="23">
    <w:p w14:paraId="3DDD1C6F" w14:textId="77777777" w:rsidR="0010650D" w:rsidRPr="00BB02B2" w:rsidRDefault="0010650D" w:rsidP="0010650D">
      <w:pPr>
        <w:pStyle w:val="Textodenotaderodap"/>
        <w:jc w:val="both"/>
        <w:rPr>
          <w:rFonts w:ascii="Times New Roman" w:hAnsi="Times New Roman"/>
          <w:sz w:val="18"/>
          <w:szCs w:val="18"/>
        </w:rPr>
      </w:pPr>
      <w:r w:rsidRPr="00BB02B2">
        <w:rPr>
          <w:rStyle w:val="Refdenotaderodap"/>
          <w:rFonts w:ascii="Times New Roman" w:hAnsi="Times New Roman"/>
          <w:color w:val="000000" w:themeColor="text1"/>
          <w:sz w:val="18"/>
          <w:szCs w:val="18"/>
        </w:rPr>
        <w:footnoteRef/>
      </w:r>
      <w:r w:rsidRPr="00BB02B2">
        <w:rPr>
          <w:rFonts w:ascii="Times New Roman" w:hAnsi="Times New Roman"/>
          <w:color w:val="000000" w:themeColor="text1"/>
          <w:sz w:val="18"/>
        </w:rPr>
        <w:t xml:space="preserve"> Data from the National Council for Financial Policy (</w:t>
      </w:r>
      <w:r w:rsidRPr="00C55A6E">
        <w:rPr>
          <w:rFonts w:ascii="Times New Roman" w:hAnsi="Times New Roman"/>
          <w:i/>
          <w:iCs/>
          <w:color w:val="000000" w:themeColor="text1"/>
          <w:sz w:val="18"/>
        </w:rPr>
        <w:t>Conselho Nacional de Política Fazendária</w:t>
      </w:r>
      <w:r w:rsidRPr="00BB02B2">
        <w:rPr>
          <w:rFonts w:ascii="Times New Roman" w:hAnsi="Times New Roman"/>
          <w:color w:val="000000" w:themeColor="text1"/>
          <w:sz w:val="18"/>
        </w:rPr>
        <w:t xml:space="preserve"> - Confaz) from 2018 show that the Northeast has the largest share of ICMS in the electricity sector in total tax collection, which is more pronounced in the states of Piauí, Ceará and Maranhão.</w:t>
      </w:r>
    </w:p>
  </w:footnote>
  <w:footnote w:id="24">
    <w:p w14:paraId="04216784" w14:textId="77777777" w:rsidR="00702A87" w:rsidRPr="00BB02B2" w:rsidRDefault="00702A87" w:rsidP="00702A87">
      <w:pPr>
        <w:pStyle w:val="RODAP0"/>
      </w:pPr>
      <w:r w:rsidRPr="00BB02B2">
        <w:rPr>
          <w:rStyle w:val="Refdenotaderodap"/>
        </w:rPr>
        <w:footnoteRef/>
      </w:r>
      <w:r w:rsidRPr="00BB02B2">
        <w:t xml:space="preserve"> As seen in Table 1, these sources  have grown in importance in the energy matrix throughout the decade, so the impacts found may be larger when looking at more recent regional matrices.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6AB92A" w14:textId="77777777" w:rsidR="006A2EB8" w:rsidRDefault="006A2EB8">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69B09B" w14:textId="5773D737" w:rsidR="00543704" w:rsidRPr="006B349C" w:rsidRDefault="00313750" w:rsidP="006B349C">
    <w:pPr>
      <w:pStyle w:val="CABEALHOAUTORARTIGO"/>
      <w:tabs>
        <w:tab w:val="right" w:pos="7938"/>
      </w:tabs>
      <w:spacing w:line="288" w:lineRule="auto"/>
      <w:jc w:val="left"/>
      <w:rPr>
        <w:rFonts w:ascii="Tahoma" w:hAnsi="Tahoma" w:cs="Tahoma"/>
        <w:color w:val="7F7F7F"/>
        <w:sz w:val="14"/>
        <w:szCs w:val="14"/>
      </w:rPr>
    </w:pPr>
    <w:r>
      <w:rPr>
        <w:rFonts w:ascii="Tahoma" w:hAnsi="Tahoma"/>
        <w:color w:val="7F7F7F"/>
        <w:sz w:val="14"/>
      </w:rPr>
      <w:t xml:space="preserve">Ferreira; Takasago; Oliveira </w:t>
    </w:r>
    <w:r w:rsidR="007D2E38">
      <w:rPr>
        <w:rFonts w:ascii="Tahoma" w:hAnsi="Tahoma"/>
        <w:color w:val="7F7F7F"/>
        <w:sz w:val="14"/>
      </w:rPr>
      <w:tab/>
    </w:r>
    <w:r>
      <w:rPr>
        <w:rFonts w:ascii="Tahoma" w:hAnsi="Tahoma"/>
        <w:color w:val="7F7F7F"/>
        <w:sz w:val="14"/>
      </w:rPr>
      <w:t>The importance of the electricity sector: an input-output analysis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1DB270" w14:textId="011CA4CD" w:rsidR="00543704" w:rsidRPr="00522DCF" w:rsidRDefault="00543704" w:rsidP="00522DCF">
    <w:pPr>
      <w:pStyle w:val="Cabealho"/>
      <w:spacing w:after="0" w:line="240" w:lineRule="auto"/>
      <w:jc w:val="right"/>
      <w:rPr>
        <w:rFonts w:ascii="Tahoma" w:hAnsi="Tahoma" w:cs="Tahoma"/>
        <w:color w:val="7F7F7F"/>
        <w:sz w:val="14"/>
        <w:szCs w:val="14"/>
        <w:lang w:val="pt-BR"/>
      </w:rPr>
    </w:pPr>
    <w:r w:rsidRPr="00522DCF">
      <w:rPr>
        <w:rFonts w:ascii="Tahoma" w:hAnsi="Tahoma"/>
        <w:color w:val="7F7F7F"/>
        <w:sz w:val="14"/>
        <w:lang w:val="pt-BR"/>
      </w:rPr>
      <w:t>DOI: https://doi.org/</w:t>
    </w:r>
    <w:r w:rsidR="006A2EB8" w:rsidRPr="006A2EB8">
      <w:rPr>
        <w:rFonts w:ascii="Tahoma" w:hAnsi="Tahoma"/>
        <w:color w:val="7F7F7F"/>
        <w:sz w:val="14"/>
        <w:lang w:val="pt-BR"/>
      </w:rPr>
      <w:t>10.14393/REE-v39n2a2024-67578</w:t>
    </w:r>
  </w:p>
  <w:p w14:paraId="706FC364" w14:textId="4ADEA94E" w:rsidR="00543704" w:rsidRPr="00522DCF" w:rsidRDefault="00543704" w:rsidP="00522DCF">
    <w:pPr>
      <w:pStyle w:val="Cabealho"/>
      <w:spacing w:after="0" w:line="240" w:lineRule="auto"/>
      <w:jc w:val="right"/>
      <w:rPr>
        <w:rFonts w:ascii="Tahoma" w:hAnsi="Tahoma" w:cs="Tahoma"/>
        <w:color w:val="7F7F7F"/>
        <w:sz w:val="14"/>
        <w:szCs w:val="14"/>
        <w:lang w:val="pt-BR"/>
      </w:rPr>
    </w:pPr>
    <w:bookmarkStart w:id="4" w:name="_Hlk29571421"/>
    <w:bookmarkStart w:id="5" w:name="_Hlk29571422"/>
    <w:bookmarkStart w:id="6" w:name="_Hlk29571472"/>
    <w:bookmarkStart w:id="7" w:name="_Hlk29571473"/>
    <w:r w:rsidRPr="00522DCF">
      <w:rPr>
        <w:rFonts w:ascii="Tahoma" w:hAnsi="Tahoma"/>
        <w:color w:val="7F7F7F"/>
        <w:sz w:val="14"/>
        <w:lang w:val="pt-BR"/>
      </w:rPr>
      <w:t xml:space="preserve">Instituto de Economia e Relações Internacionais – Universidade Federal de Uberlândia                                                            </w:t>
    </w:r>
    <w:bookmarkEnd w:id="4"/>
    <w:bookmarkEnd w:id="5"/>
    <w:bookmarkEnd w:id="6"/>
    <w:bookmarkEnd w:id="7"/>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D57A7C"/>
    <w:multiLevelType w:val="hybridMultilevel"/>
    <w:tmpl w:val="81B2324E"/>
    <w:lvl w:ilvl="0" w:tplc="0ADE365C">
      <w:start w:val="1"/>
      <w:numFmt w:val="bullet"/>
      <w:lvlText w:val=""/>
      <w:lvlJc w:val="left"/>
      <w:pPr>
        <w:ind w:left="720" w:hanging="360"/>
      </w:pPr>
      <w:rPr>
        <w:rFonts w:ascii="Symbol" w:hAnsi="Symbol" w:hint="default"/>
        <w:sz w:val="16"/>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4B9F5FD7"/>
    <w:multiLevelType w:val="hybridMultilevel"/>
    <w:tmpl w:val="F80A2B86"/>
    <w:lvl w:ilvl="0" w:tplc="0ADE365C">
      <w:start w:val="1"/>
      <w:numFmt w:val="bullet"/>
      <w:lvlText w:val=""/>
      <w:lvlJc w:val="left"/>
      <w:pPr>
        <w:ind w:left="1287" w:hanging="360"/>
      </w:pPr>
      <w:rPr>
        <w:rFonts w:ascii="Symbol" w:hAnsi="Symbol" w:hint="default"/>
        <w:sz w:val="16"/>
      </w:rPr>
    </w:lvl>
    <w:lvl w:ilvl="1" w:tplc="04160009">
      <w:start w:val="1"/>
      <w:numFmt w:val="bullet"/>
      <w:lvlText w:val=""/>
      <w:lvlJc w:val="left"/>
      <w:pPr>
        <w:ind w:left="2007" w:hanging="360"/>
      </w:pPr>
      <w:rPr>
        <w:rFonts w:ascii="Wingdings" w:hAnsi="Wingdings" w:hint="default"/>
      </w:rPr>
    </w:lvl>
    <w:lvl w:ilvl="2" w:tplc="04160005" w:tentative="1">
      <w:start w:val="1"/>
      <w:numFmt w:val="bullet"/>
      <w:lvlText w:val=""/>
      <w:lvlJc w:val="left"/>
      <w:pPr>
        <w:ind w:left="2727" w:hanging="360"/>
      </w:pPr>
      <w:rPr>
        <w:rFonts w:ascii="Wingdings" w:hAnsi="Wingdings" w:hint="default"/>
      </w:rPr>
    </w:lvl>
    <w:lvl w:ilvl="3" w:tplc="04160001" w:tentative="1">
      <w:start w:val="1"/>
      <w:numFmt w:val="bullet"/>
      <w:lvlText w:val=""/>
      <w:lvlJc w:val="left"/>
      <w:pPr>
        <w:ind w:left="3447" w:hanging="360"/>
      </w:pPr>
      <w:rPr>
        <w:rFonts w:ascii="Symbol" w:hAnsi="Symbol" w:hint="default"/>
      </w:rPr>
    </w:lvl>
    <w:lvl w:ilvl="4" w:tplc="04160003" w:tentative="1">
      <w:start w:val="1"/>
      <w:numFmt w:val="bullet"/>
      <w:lvlText w:val="o"/>
      <w:lvlJc w:val="left"/>
      <w:pPr>
        <w:ind w:left="4167" w:hanging="360"/>
      </w:pPr>
      <w:rPr>
        <w:rFonts w:ascii="Courier New" w:hAnsi="Courier New" w:cs="Courier New" w:hint="default"/>
      </w:rPr>
    </w:lvl>
    <w:lvl w:ilvl="5" w:tplc="04160005" w:tentative="1">
      <w:start w:val="1"/>
      <w:numFmt w:val="bullet"/>
      <w:lvlText w:val=""/>
      <w:lvlJc w:val="left"/>
      <w:pPr>
        <w:ind w:left="4887" w:hanging="360"/>
      </w:pPr>
      <w:rPr>
        <w:rFonts w:ascii="Wingdings" w:hAnsi="Wingdings" w:hint="default"/>
      </w:rPr>
    </w:lvl>
    <w:lvl w:ilvl="6" w:tplc="04160001" w:tentative="1">
      <w:start w:val="1"/>
      <w:numFmt w:val="bullet"/>
      <w:lvlText w:val=""/>
      <w:lvlJc w:val="left"/>
      <w:pPr>
        <w:ind w:left="5607" w:hanging="360"/>
      </w:pPr>
      <w:rPr>
        <w:rFonts w:ascii="Symbol" w:hAnsi="Symbol" w:hint="default"/>
      </w:rPr>
    </w:lvl>
    <w:lvl w:ilvl="7" w:tplc="04160003" w:tentative="1">
      <w:start w:val="1"/>
      <w:numFmt w:val="bullet"/>
      <w:lvlText w:val="o"/>
      <w:lvlJc w:val="left"/>
      <w:pPr>
        <w:ind w:left="6327" w:hanging="360"/>
      </w:pPr>
      <w:rPr>
        <w:rFonts w:ascii="Courier New" w:hAnsi="Courier New" w:cs="Courier New" w:hint="default"/>
      </w:rPr>
    </w:lvl>
    <w:lvl w:ilvl="8" w:tplc="04160005" w:tentative="1">
      <w:start w:val="1"/>
      <w:numFmt w:val="bullet"/>
      <w:lvlText w:val=""/>
      <w:lvlJc w:val="left"/>
      <w:pPr>
        <w:ind w:left="7047" w:hanging="360"/>
      </w:pPr>
      <w:rPr>
        <w:rFonts w:ascii="Wingdings" w:hAnsi="Wingdings" w:hint="default"/>
      </w:rPr>
    </w:lvl>
  </w:abstractNum>
  <w:abstractNum w:abstractNumId="2" w15:restartNumberingAfterBreak="0">
    <w:nsid w:val="701F3427"/>
    <w:multiLevelType w:val="hybridMultilevel"/>
    <w:tmpl w:val="1A26732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1076320079">
    <w:abstractNumId w:val="0"/>
  </w:num>
  <w:num w:numId="2" w16cid:durableId="1697727888">
    <w:abstractNumId w:val="1"/>
  </w:num>
  <w:num w:numId="3" w16cid:durableId="7133827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2DC6"/>
    <w:rsid w:val="00001306"/>
    <w:rsid w:val="00005311"/>
    <w:rsid w:val="000141DD"/>
    <w:rsid w:val="000170C4"/>
    <w:rsid w:val="00020BFE"/>
    <w:rsid w:val="000300A5"/>
    <w:rsid w:val="000333F2"/>
    <w:rsid w:val="00035916"/>
    <w:rsid w:val="000359C6"/>
    <w:rsid w:val="0004579E"/>
    <w:rsid w:val="00077404"/>
    <w:rsid w:val="000829BA"/>
    <w:rsid w:val="00092739"/>
    <w:rsid w:val="0009739A"/>
    <w:rsid w:val="000A3158"/>
    <w:rsid w:val="000B20DA"/>
    <w:rsid w:val="000B22B5"/>
    <w:rsid w:val="000D3571"/>
    <w:rsid w:val="000E35E3"/>
    <w:rsid w:val="000E4F4C"/>
    <w:rsid w:val="000F69BB"/>
    <w:rsid w:val="001008CD"/>
    <w:rsid w:val="00102D9A"/>
    <w:rsid w:val="0010650D"/>
    <w:rsid w:val="00106ED7"/>
    <w:rsid w:val="0011268C"/>
    <w:rsid w:val="0012324D"/>
    <w:rsid w:val="00143A44"/>
    <w:rsid w:val="001772E7"/>
    <w:rsid w:val="00183241"/>
    <w:rsid w:val="0018632E"/>
    <w:rsid w:val="00186AE4"/>
    <w:rsid w:val="0019023C"/>
    <w:rsid w:val="001A159C"/>
    <w:rsid w:val="001B313A"/>
    <w:rsid w:val="001E3A9C"/>
    <w:rsid w:val="001E7D36"/>
    <w:rsid w:val="001F7164"/>
    <w:rsid w:val="002011DF"/>
    <w:rsid w:val="002134CB"/>
    <w:rsid w:val="00213775"/>
    <w:rsid w:val="00213D32"/>
    <w:rsid w:val="00220C22"/>
    <w:rsid w:val="002252CF"/>
    <w:rsid w:val="00241269"/>
    <w:rsid w:val="002520BB"/>
    <w:rsid w:val="00262B3E"/>
    <w:rsid w:val="0028426B"/>
    <w:rsid w:val="00284ED5"/>
    <w:rsid w:val="00291A88"/>
    <w:rsid w:val="00291D4A"/>
    <w:rsid w:val="00291E23"/>
    <w:rsid w:val="002949D0"/>
    <w:rsid w:val="002A5DA2"/>
    <w:rsid w:val="002B1703"/>
    <w:rsid w:val="002C2373"/>
    <w:rsid w:val="002C6605"/>
    <w:rsid w:val="002D23F0"/>
    <w:rsid w:val="002E120F"/>
    <w:rsid w:val="00311123"/>
    <w:rsid w:val="0031303A"/>
    <w:rsid w:val="00313750"/>
    <w:rsid w:val="003175F3"/>
    <w:rsid w:val="00320337"/>
    <w:rsid w:val="003255F2"/>
    <w:rsid w:val="00327667"/>
    <w:rsid w:val="003400AE"/>
    <w:rsid w:val="00347522"/>
    <w:rsid w:val="00347B32"/>
    <w:rsid w:val="00354C47"/>
    <w:rsid w:val="003646C0"/>
    <w:rsid w:val="00376B33"/>
    <w:rsid w:val="003770BD"/>
    <w:rsid w:val="003805AB"/>
    <w:rsid w:val="003956D8"/>
    <w:rsid w:val="0039703B"/>
    <w:rsid w:val="003A0410"/>
    <w:rsid w:val="003A665D"/>
    <w:rsid w:val="003B1F0A"/>
    <w:rsid w:val="003B1F1E"/>
    <w:rsid w:val="003B3DD4"/>
    <w:rsid w:val="003B4FBA"/>
    <w:rsid w:val="003B63D2"/>
    <w:rsid w:val="003C3515"/>
    <w:rsid w:val="003D157C"/>
    <w:rsid w:val="003D3329"/>
    <w:rsid w:val="003E09E9"/>
    <w:rsid w:val="003F2783"/>
    <w:rsid w:val="003F28C2"/>
    <w:rsid w:val="003F29AF"/>
    <w:rsid w:val="00401A12"/>
    <w:rsid w:val="004119F0"/>
    <w:rsid w:val="00413894"/>
    <w:rsid w:val="004155E2"/>
    <w:rsid w:val="0041599B"/>
    <w:rsid w:val="004357B0"/>
    <w:rsid w:val="004539EE"/>
    <w:rsid w:val="00456911"/>
    <w:rsid w:val="00456F65"/>
    <w:rsid w:val="00471645"/>
    <w:rsid w:val="00475C09"/>
    <w:rsid w:val="00477378"/>
    <w:rsid w:val="004840B5"/>
    <w:rsid w:val="0048490C"/>
    <w:rsid w:val="00484BCE"/>
    <w:rsid w:val="00486637"/>
    <w:rsid w:val="00486712"/>
    <w:rsid w:val="0049446D"/>
    <w:rsid w:val="0049549C"/>
    <w:rsid w:val="00495FD4"/>
    <w:rsid w:val="0049767F"/>
    <w:rsid w:val="004A4E89"/>
    <w:rsid w:val="004B1AA0"/>
    <w:rsid w:val="004C3F0D"/>
    <w:rsid w:val="004C5C2D"/>
    <w:rsid w:val="004C75DE"/>
    <w:rsid w:val="004D2BEB"/>
    <w:rsid w:val="004E2C7D"/>
    <w:rsid w:val="004E3D23"/>
    <w:rsid w:val="004E5986"/>
    <w:rsid w:val="004E5DE9"/>
    <w:rsid w:val="004F5D07"/>
    <w:rsid w:val="004F7650"/>
    <w:rsid w:val="005070EF"/>
    <w:rsid w:val="005146DA"/>
    <w:rsid w:val="00522C83"/>
    <w:rsid w:val="00522DCF"/>
    <w:rsid w:val="00526A45"/>
    <w:rsid w:val="00530533"/>
    <w:rsid w:val="00532DC6"/>
    <w:rsid w:val="00533053"/>
    <w:rsid w:val="00534871"/>
    <w:rsid w:val="00536BC2"/>
    <w:rsid w:val="005405EC"/>
    <w:rsid w:val="00543704"/>
    <w:rsid w:val="00544D9F"/>
    <w:rsid w:val="00551D5D"/>
    <w:rsid w:val="00563812"/>
    <w:rsid w:val="0058122B"/>
    <w:rsid w:val="00586E86"/>
    <w:rsid w:val="00595536"/>
    <w:rsid w:val="005A03BB"/>
    <w:rsid w:val="005B07D5"/>
    <w:rsid w:val="005B6649"/>
    <w:rsid w:val="005C246A"/>
    <w:rsid w:val="005C29CB"/>
    <w:rsid w:val="005D4575"/>
    <w:rsid w:val="005E09CC"/>
    <w:rsid w:val="005E1F57"/>
    <w:rsid w:val="005E365E"/>
    <w:rsid w:val="005F238F"/>
    <w:rsid w:val="00603991"/>
    <w:rsid w:val="00606571"/>
    <w:rsid w:val="006105E4"/>
    <w:rsid w:val="00610782"/>
    <w:rsid w:val="006131C1"/>
    <w:rsid w:val="0061459A"/>
    <w:rsid w:val="00614C3A"/>
    <w:rsid w:val="006152EE"/>
    <w:rsid w:val="006225F8"/>
    <w:rsid w:val="0062744D"/>
    <w:rsid w:val="00650C80"/>
    <w:rsid w:val="00654F3F"/>
    <w:rsid w:val="00662E7A"/>
    <w:rsid w:val="00680202"/>
    <w:rsid w:val="00682C94"/>
    <w:rsid w:val="006960C2"/>
    <w:rsid w:val="00696C24"/>
    <w:rsid w:val="006A2EB8"/>
    <w:rsid w:val="006B0574"/>
    <w:rsid w:val="006B1015"/>
    <w:rsid w:val="006B349C"/>
    <w:rsid w:val="006B671C"/>
    <w:rsid w:val="006C5569"/>
    <w:rsid w:val="006D793E"/>
    <w:rsid w:val="006E44FE"/>
    <w:rsid w:val="006E493D"/>
    <w:rsid w:val="006F7B58"/>
    <w:rsid w:val="00702A5B"/>
    <w:rsid w:val="00702A87"/>
    <w:rsid w:val="007032DA"/>
    <w:rsid w:val="0070361A"/>
    <w:rsid w:val="00704BAD"/>
    <w:rsid w:val="00705538"/>
    <w:rsid w:val="00705A4C"/>
    <w:rsid w:val="00711608"/>
    <w:rsid w:val="00717B90"/>
    <w:rsid w:val="00722C04"/>
    <w:rsid w:val="00726CAD"/>
    <w:rsid w:val="007347E1"/>
    <w:rsid w:val="00736FA1"/>
    <w:rsid w:val="00750725"/>
    <w:rsid w:val="0075095E"/>
    <w:rsid w:val="0076092B"/>
    <w:rsid w:val="007610E0"/>
    <w:rsid w:val="007625C6"/>
    <w:rsid w:val="00766BCA"/>
    <w:rsid w:val="00773E10"/>
    <w:rsid w:val="00775F8E"/>
    <w:rsid w:val="00786FE2"/>
    <w:rsid w:val="00795B76"/>
    <w:rsid w:val="007A01D2"/>
    <w:rsid w:val="007A48B3"/>
    <w:rsid w:val="007B3B5B"/>
    <w:rsid w:val="007C5D13"/>
    <w:rsid w:val="007D2E38"/>
    <w:rsid w:val="007E59DB"/>
    <w:rsid w:val="008006B6"/>
    <w:rsid w:val="0080775F"/>
    <w:rsid w:val="008161E4"/>
    <w:rsid w:val="00824AB2"/>
    <w:rsid w:val="00830286"/>
    <w:rsid w:val="00831C62"/>
    <w:rsid w:val="008370E7"/>
    <w:rsid w:val="008514E2"/>
    <w:rsid w:val="00852067"/>
    <w:rsid w:val="00861C80"/>
    <w:rsid w:val="00861E38"/>
    <w:rsid w:val="008719CE"/>
    <w:rsid w:val="00873B79"/>
    <w:rsid w:val="00875F3B"/>
    <w:rsid w:val="00880184"/>
    <w:rsid w:val="00881AE9"/>
    <w:rsid w:val="00885E85"/>
    <w:rsid w:val="00887214"/>
    <w:rsid w:val="00894197"/>
    <w:rsid w:val="00895557"/>
    <w:rsid w:val="008A1E93"/>
    <w:rsid w:val="008A344B"/>
    <w:rsid w:val="008B0223"/>
    <w:rsid w:val="008B0731"/>
    <w:rsid w:val="008B1D64"/>
    <w:rsid w:val="008B2405"/>
    <w:rsid w:val="008B79B8"/>
    <w:rsid w:val="008C0D76"/>
    <w:rsid w:val="008C2850"/>
    <w:rsid w:val="008C41B8"/>
    <w:rsid w:val="008C5BF3"/>
    <w:rsid w:val="008D08FC"/>
    <w:rsid w:val="008D1AEA"/>
    <w:rsid w:val="008D652E"/>
    <w:rsid w:val="008D7B14"/>
    <w:rsid w:val="008E6694"/>
    <w:rsid w:val="008E733F"/>
    <w:rsid w:val="008F6024"/>
    <w:rsid w:val="008F7949"/>
    <w:rsid w:val="00900EC7"/>
    <w:rsid w:val="00904C02"/>
    <w:rsid w:val="00910F6E"/>
    <w:rsid w:val="00930A1A"/>
    <w:rsid w:val="00933011"/>
    <w:rsid w:val="00933853"/>
    <w:rsid w:val="009428CA"/>
    <w:rsid w:val="00953A1D"/>
    <w:rsid w:val="00955FED"/>
    <w:rsid w:val="00956ABE"/>
    <w:rsid w:val="0096370D"/>
    <w:rsid w:val="00964343"/>
    <w:rsid w:val="00971E28"/>
    <w:rsid w:val="0097513C"/>
    <w:rsid w:val="0098058B"/>
    <w:rsid w:val="0098251B"/>
    <w:rsid w:val="00986378"/>
    <w:rsid w:val="00987901"/>
    <w:rsid w:val="009921BF"/>
    <w:rsid w:val="009A2877"/>
    <w:rsid w:val="009C11E7"/>
    <w:rsid w:val="009D5DD0"/>
    <w:rsid w:val="009D60C5"/>
    <w:rsid w:val="009E0AE7"/>
    <w:rsid w:val="009E5549"/>
    <w:rsid w:val="009F2429"/>
    <w:rsid w:val="009F2864"/>
    <w:rsid w:val="009F5FD4"/>
    <w:rsid w:val="009F799E"/>
    <w:rsid w:val="00A026AD"/>
    <w:rsid w:val="00A155FF"/>
    <w:rsid w:val="00A15C46"/>
    <w:rsid w:val="00A3580D"/>
    <w:rsid w:val="00A37B53"/>
    <w:rsid w:val="00A4633B"/>
    <w:rsid w:val="00A52C51"/>
    <w:rsid w:val="00A53D80"/>
    <w:rsid w:val="00A53F04"/>
    <w:rsid w:val="00A5472F"/>
    <w:rsid w:val="00A60196"/>
    <w:rsid w:val="00A60FE0"/>
    <w:rsid w:val="00A6669C"/>
    <w:rsid w:val="00A70212"/>
    <w:rsid w:val="00A76385"/>
    <w:rsid w:val="00A769DA"/>
    <w:rsid w:val="00A8254E"/>
    <w:rsid w:val="00A859E7"/>
    <w:rsid w:val="00A87B6A"/>
    <w:rsid w:val="00A92D9A"/>
    <w:rsid w:val="00A952E9"/>
    <w:rsid w:val="00AA6BA8"/>
    <w:rsid w:val="00AB677A"/>
    <w:rsid w:val="00AD61EA"/>
    <w:rsid w:val="00AE4B55"/>
    <w:rsid w:val="00AF3639"/>
    <w:rsid w:val="00AF40C4"/>
    <w:rsid w:val="00AF41B3"/>
    <w:rsid w:val="00AF660D"/>
    <w:rsid w:val="00B072F2"/>
    <w:rsid w:val="00B12A0A"/>
    <w:rsid w:val="00B136E5"/>
    <w:rsid w:val="00B144DB"/>
    <w:rsid w:val="00B17B3C"/>
    <w:rsid w:val="00B21BB3"/>
    <w:rsid w:val="00B33801"/>
    <w:rsid w:val="00B40969"/>
    <w:rsid w:val="00B41820"/>
    <w:rsid w:val="00B4198C"/>
    <w:rsid w:val="00B5195A"/>
    <w:rsid w:val="00B63D84"/>
    <w:rsid w:val="00B810AC"/>
    <w:rsid w:val="00B91F7C"/>
    <w:rsid w:val="00B941F6"/>
    <w:rsid w:val="00BA1077"/>
    <w:rsid w:val="00BA16DF"/>
    <w:rsid w:val="00BB02B2"/>
    <w:rsid w:val="00BB20C8"/>
    <w:rsid w:val="00BC052B"/>
    <w:rsid w:val="00BC4349"/>
    <w:rsid w:val="00BC7F83"/>
    <w:rsid w:val="00BD0CB0"/>
    <w:rsid w:val="00BD2743"/>
    <w:rsid w:val="00BD4F0C"/>
    <w:rsid w:val="00BE4BA0"/>
    <w:rsid w:val="00BF693F"/>
    <w:rsid w:val="00BF7BF4"/>
    <w:rsid w:val="00C03EC0"/>
    <w:rsid w:val="00C04CE4"/>
    <w:rsid w:val="00C1393C"/>
    <w:rsid w:val="00C13C3D"/>
    <w:rsid w:val="00C26F76"/>
    <w:rsid w:val="00C30826"/>
    <w:rsid w:val="00C33965"/>
    <w:rsid w:val="00C450EE"/>
    <w:rsid w:val="00C4788F"/>
    <w:rsid w:val="00C51AB6"/>
    <w:rsid w:val="00C55A6E"/>
    <w:rsid w:val="00C619FD"/>
    <w:rsid w:val="00C65C4B"/>
    <w:rsid w:val="00C6669C"/>
    <w:rsid w:val="00C72379"/>
    <w:rsid w:val="00C725EE"/>
    <w:rsid w:val="00C75CE0"/>
    <w:rsid w:val="00C77A54"/>
    <w:rsid w:val="00C82DFA"/>
    <w:rsid w:val="00C912FE"/>
    <w:rsid w:val="00C95AD9"/>
    <w:rsid w:val="00CA0711"/>
    <w:rsid w:val="00CA72FC"/>
    <w:rsid w:val="00CB7ACB"/>
    <w:rsid w:val="00CC102F"/>
    <w:rsid w:val="00CC77B7"/>
    <w:rsid w:val="00CD3155"/>
    <w:rsid w:val="00CD51CF"/>
    <w:rsid w:val="00CF15BB"/>
    <w:rsid w:val="00CF238A"/>
    <w:rsid w:val="00CF651F"/>
    <w:rsid w:val="00D153A9"/>
    <w:rsid w:val="00D16F35"/>
    <w:rsid w:val="00D20C02"/>
    <w:rsid w:val="00D211B3"/>
    <w:rsid w:val="00D25987"/>
    <w:rsid w:val="00D400B7"/>
    <w:rsid w:val="00D502D5"/>
    <w:rsid w:val="00D50BCE"/>
    <w:rsid w:val="00D526A8"/>
    <w:rsid w:val="00D556DB"/>
    <w:rsid w:val="00D60D56"/>
    <w:rsid w:val="00D610A3"/>
    <w:rsid w:val="00D63219"/>
    <w:rsid w:val="00D67F56"/>
    <w:rsid w:val="00D745E0"/>
    <w:rsid w:val="00D75CB8"/>
    <w:rsid w:val="00D76776"/>
    <w:rsid w:val="00D767BA"/>
    <w:rsid w:val="00D83A7F"/>
    <w:rsid w:val="00D94FFD"/>
    <w:rsid w:val="00D96B1C"/>
    <w:rsid w:val="00DA1DCC"/>
    <w:rsid w:val="00DA2A0D"/>
    <w:rsid w:val="00DA39D2"/>
    <w:rsid w:val="00DA4957"/>
    <w:rsid w:val="00DB08A1"/>
    <w:rsid w:val="00DB1C2E"/>
    <w:rsid w:val="00DB47A5"/>
    <w:rsid w:val="00DC2318"/>
    <w:rsid w:val="00DC2930"/>
    <w:rsid w:val="00DC3FFF"/>
    <w:rsid w:val="00DC63F0"/>
    <w:rsid w:val="00DC6903"/>
    <w:rsid w:val="00DD427A"/>
    <w:rsid w:val="00DD646F"/>
    <w:rsid w:val="00DE40F4"/>
    <w:rsid w:val="00E03CEA"/>
    <w:rsid w:val="00E06BE9"/>
    <w:rsid w:val="00E06D68"/>
    <w:rsid w:val="00E152F1"/>
    <w:rsid w:val="00E20945"/>
    <w:rsid w:val="00E23378"/>
    <w:rsid w:val="00E247DD"/>
    <w:rsid w:val="00E31F5E"/>
    <w:rsid w:val="00E37DAE"/>
    <w:rsid w:val="00E5019B"/>
    <w:rsid w:val="00E6161D"/>
    <w:rsid w:val="00E62AFF"/>
    <w:rsid w:val="00E634E6"/>
    <w:rsid w:val="00E63D22"/>
    <w:rsid w:val="00E64F5C"/>
    <w:rsid w:val="00E64FBF"/>
    <w:rsid w:val="00E87ED3"/>
    <w:rsid w:val="00E94E72"/>
    <w:rsid w:val="00E973A1"/>
    <w:rsid w:val="00EA13BD"/>
    <w:rsid w:val="00EA1F8A"/>
    <w:rsid w:val="00EA53FC"/>
    <w:rsid w:val="00EA6B43"/>
    <w:rsid w:val="00EB419A"/>
    <w:rsid w:val="00EB588E"/>
    <w:rsid w:val="00EB681B"/>
    <w:rsid w:val="00EC1AE9"/>
    <w:rsid w:val="00ED1D4E"/>
    <w:rsid w:val="00EE781F"/>
    <w:rsid w:val="00EF40A0"/>
    <w:rsid w:val="00F0203B"/>
    <w:rsid w:val="00F058B7"/>
    <w:rsid w:val="00F10DBA"/>
    <w:rsid w:val="00F1504D"/>
    <w:rsid w:val="00F155CB"/>
    <w:rsid w:val="00F2086B"/>
    <w:rsid w:val="00F2304F"/>
    <w:rsid w:val="00F36F62"/>
    <w:rsid w:val="00F4116E"/>
    <w:rsid w:val="00F51BD9"/>
    <w:rsid w:val="00F53F61"/>
    <w:rsid w:val="00F54111"/>
    <w:rsid w:val="00F72DC7"/>
    <w:rsid w:val="00F80C3B"/>
    <w:rsid w:val="00F91AFE"/>
    <w:rsid w:val="00FA3895"/>
    <w:rsid w:val="00FA7F54"/>
    <w:rsid w:val="00FB4C8C"/>
    <w:rsid w:val="00FC2739"/>
    <w:rsid w:val="00FC5A28"/>
    <w:rsid w:val="00FD0883"/>
    <w:rsid w:val="00FD318E"/>
    <w:rsid w:val="00FD46FF"/>
    <w:rsid w:val="00FD7077"/>
    <w:rsid w:val="00FE1D5F"/>
    <w:rsid w:val="00FE7B0A"/>
    <w:rsid w:val="00FF25E0"/>
    <w:rsid w:val="00FF7F0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947FBD"/>
  <w15:chartTrackingRefBased/>
  <w15:docId w15:val="{2292885E-FA23-424C-B0C7-5E3E47F08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paragraph" w:styleId="Ttulo1">
    <w:name w:val="heading 1"/>
    <w:basedOn w:val="Normal"/>
    <w:next w:val="Normal"/>
    <w:link w:val="Ttulo1Char"/>
    <w:uiPriority w:val="9"/>
    <w:qFormat/>
    <w:rsid w:val="00C77A5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har"/>
    <w:uiPriority w:val="9"/>
    <w:semiHidden/>
    <w:unhideWhenUsed/>
    <w:qFormat/>
    <w:rsid w:val="00C77A5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har"/>
    <w:uiPriority w:val="9"/>
    <w:semiHidden/>
    <w:unhideWhenUsed/>
    <w:qFormat/>
    <w:rsid w:val="00C77A5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link w:val="Ttulo4Char"/>
    <w:uiPriority w:val="9"/>
    <w:qFormat/>
    <w:rsid w:val="006960C2"/>
    <w:pPr>
      <w:spacing w:before="100" w:beforeAutospacing="1" w:after="100" w:afterAutospacing="1" w:line="240" w:lineRule="auto"/>
      <w:outlineLvl w:val="3"/>
    </w:pPr>
    <w:rPr>
      <w:rFonts w:ascii="Times New Roman" w:eastAsia="Times New Roman" w:hAnsi="Times New Roman"/>
      <w:b/>
      <w:bCs/>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emestilodepargrafo">
    <w:name w:val="[Sem estilo de parágrafo]"/>
    <w:rsid w:val="008C41B8"/>
    <w:pPr>
      <w:autoSpaceDE w:val="0"/>
      <w:autoSpaceDN w:val="0"/>
      <w:adjustRightInd w:val="0"/>
      <w:spacing w:line="288" w:lineRule="auto"/>
      <w:textAlignment w:val="center"/>
    </w:pPr>
    <w:rPr>
      <w:rFonts w:ascii="Baramond" w:hAnsi="Baramond" w:cs="Baramond"/>
      <w:color w:val="000000"/>
      <w:sz w:val="24"/>
      <w:szCs w:val="24"/>
    </w:rPr>
  </w:style>
  <w:style w:type="paragraph" w:customStyle="1" w:styleId="TITULO">
    <w:name w:val="TITULO"/>
    <w:basedOn w:val="Semestilodepargrafo"/>
    <w:uiPriority w:val="99"/>
    <w:rsid w:val="008C41B8"/>
    <w:pPr>
      <w:suppressAutoHyphens/>
    </w:pPr>
    <w:rPr>
      <w:rFonts w:ascii="Tahoma" w:hAnsi="Tahoma" w:cs="Tahoma"/>
      <w:sz w:val="28"/>
      <w:szCs w:val="28"/>
    </w:rPr>
  </w:style>
  <w:style w:type="paragraph" w:customStyle="1" w:styleId="CORPO">
    <w:name w:val="CORPO"/>
    <w:basedOn w:val="Semestilodepargrafo"/>
    <w:link w:val="CORPOChar"/>
    <w:uiPriority w:val="99"/>
    <w:rsid w:val="008C41B8"/>
    <w:pPr>
      <w:spacing w:line="260" w:lineRule="atLeast"/>
      <w:ind w:firstLine="567"/>
      <w:jc w:val="both"/>
    </w:pPr>
    <w:rPr>
      <w:sz w:val="22"/>
      <w:szCs w:val="22"/>
    </w:rPr>
  </w:style>
  <w:style w:type="paragraph" w:customStyle="1" w:styleId="AUTOR">
    <w:name w:val="AUTOR"/>
    <w:basedOn w:val="Semestilodepargrafo"/>
    <w:uiPriority w:val="99"/>
    <w:rsid w:val="008C41B8"/>
    <w:pPr>
      <w:jc w:val="right"/>
    </w:pPr>
    <w:rPr>
      <w:rFonts w:ascii="Tahoma" w:hAnsi="Tahoma" w:cs="Tahoma"/>
      <w:sz w:val="22"/>
      <w:szCs w:val="22"/>
    </w:rPr>
  </w:style>
  <w:style w:type="paragraph" w:customStyle="1" w:styleId="CITAORESUMO">
    <w:name w:val="CITAÇÃO/RESUMO"/>
    <w:basedOn w:val="CORPO"/>
    <w:uiPriority w:val="99"/>
    <w:rsid w:val="008C41B8"/>
    <w:pPr>
      <w:ind w:left="1134" w:firstLine="0"/>
    </w:pPr>
    <w:rPr>
      <w:sz w:val="18"/>
      <w:szCs w:val="18"/>
    </w:rPr>
  </w:style>
  <w:style w:type="paragraph" w:customStyle="1" w:styleId="SUBTITULO">
    <w:name w:val="SUBTITULO"/>
    <w:basedOn w:val="Semestilodepargrafo"/>
    <w:uiPriority w:val="99"/>
    <w:rsid w:val="00E6161D"/>
    <w:pPr>
      <w:spacing w:line="260" w:lineRule="atLeast"/>
      <w:jc w:val="both"/>
    </w:pPr>
    <w:rPr>
      <w:rFonts w:ascii="Tahoma" w:hAnsi="Tahoma" w:cs="Tahoma"/>
      <w:bCs/>
      <w:sz w:val="22"/>
      <w:szCs w:val="22"/>
    </w:rPr>
  </w:style>
  <w:style w:type="paragraph" w:customStyle="1" w:styleId="NOTAS">
    <w:name w:val="NOTAS"/>
    <w:basedOn w:val="CORPO"/>
    <w:uiPriority w:val="99"/>
    <w:rsid w:val="008C41B8"/>
    <w:pPr>
      <w:tabs>
        <w:tab w:val="left" w:pos="227"/>
      </w:tabs>
      <w:spacing w:line="220" w:lineRule="atLeast"/>
      <w:ind w:left="227" w:hanging="227"/>
    </w:pPr>
    <w:rPr>
      <w:sz w:val="18"/>
      <w:szCs w:val="18"/>
    </w:rPr>
  </w:style>
  <w:style w:type="paragraph" w:customStyle="1" w:styleId="IMAGEM">
    <w:name w:val="IMAGEM"/>
    <w:basedOn w:val="Semestilodepargrafo"/>
    <w:uiPriority w:val="99"/>
    <w:rsid w:val="008C41B8"/>
    <w:pPr>
      <w:jc w:val="center"/>
    </w:pPr>
  </w:style>
  <w:style w:type="paragraph" w:customStyle="1" w:styleId="REFERENCIAS">
    <w:name w:val="REFERENCIAS"/>
    <w:basedOn w:val="CORPO"/>
    <w:uiPriority w:val="99"/>
    <w:rsid w:val="008C41B8"/>
    <w:pPr>
      <w:ind w:firstLine="0"/>
    </w:pPr>
  </w:style>
  <w:style w:type="paragraph" w:customStyle="1" w:styleId="CORPOTABELA">
    <w:name w:val="CORPO TABELA"/>
    <w:basedOn w:val="Semestilodepargrafo"/>
    <w:uiPriority w:val="99"/>
    <w:rsid w:val="008C41B8"/>
    <w:pPr>
      <w:spacing w:line="260" w:lineRule="atLeast"/>
      <w:jc w:val="center"/>
    </w:pPr>
    <w:rPr>
      <w:sz w:val="20"/>
      <w:szCs w:val="20"/>
    </w:rPr>
  </w:style>
  <w:style w:type="character" w:customStyle="1" w:styleId="Estilodecaractere1">
    <w:name w:val="Estilo de caractere 1"/>
    <w:uiPriority w:val="99"/>
    <w:rsid w:val="008C41B8"/>
    <w:rPr>
      <w:rFonts w:ascii="Baramond" w:hAnsi="Baramond" w:cs="Baramond"/>
      <w:color w:val="000000"/>
      <w:spacing w:val="0"/>
      <w:sz w:val="18"/>
      <w:szCs w:val="18"/>
      <w:u w:val="none"/>
      <w:lang w:val="en-US"/>
    </w:rPr>
  </w:style>
  <w:style w:type="character" w:styleId="Refdenotaderodap">
    <w:name w:val="footnote reference"/>
    <w:rsid w:val="008C41B8"/>
    <w:rPr>
      <w:w w:val="100"/>
      <w:vertAlign w:val="superscript"/>
    </w:rPr>
  </w:style>
  <w:style w:type="character" w:customStyle="1" w:styleId="EstilodelistaimportadadoWord4EstilosparalistasimportadasdoWordRTF">
    <w:name w:val="Estilo de lista importada do Word4 (Estilos para listas importadas do Word/RTF)"/>
    <w:uiPriority w:val="99"/>
    <w:rsid w:val="008C41B8"/>
    <w:rPr>
      <w:w w:val="100"/>
    </w:rPr>
  </w:style>
  <w:style w:type="character" w:styleId="Hyperlink">
    <w:name w:val="Hyperlink"/>
    <w:uiPriority w:val="99"/>
    <w:rsid w:val="008C41B8"/>
    <w:rPr>
      <w:color w:val="0000FF"/>
      <w:w w:val="100"/>
      <w:u w:val="thick" w:color="0000FF"/>
    </w:rPr>
  </w:style>
  <w:style w:type="paragraph" w:customStyle="1" w:styleId="TITULOEE">
    <w:name w:val="TITULO EE"/>
    <w:basedOn w:val="TITULO"/>
    <w:qFormat/>
    <w:rsid w:val="00CF651F"/>
  </w:style>
  <w:style w:type="paragraph" w:customStyle="1" w:styleId="RESUMOEE">
    <w:name w:val="RESUMO EE"/>
    <w:basedOn w:val="CITAORESUMO"/>
    <w:qFormat/>
    <w:rsid w:val="00CF651F"/>
    <w:rPr>
      <w:spacing w:val="2"/>
    </w:rPr>
  </w:style>
  <w:style w:type="paragraph" w:customStyle="1" w:styleId="RECEBIDOAPROVADO">
    <w:name w:val="RECEBIDO/APROVADO"/>
    <w:basedOn w:val="CORPO"/>
    <w:qFormat/>
    <w:rsid w:val="00CF651F"/>
    <w:pPr>
      <w:jc w:val="right"/>
    </w:pPr>
  </w:style>
  <w:style w:type="paragraph" w:customStyle="1" w:styleId="TABELAFIGURA">
    <w:name w:val="TABELA/FIGURA"/>
    <w:basedOn w:val="CORPO"/>
    <w:qFormat/>
    <w:rsid w:val="004F7650"/>
    <w:pPr>
      <w:spacing w:before="120" w:after="120"/>
      <w:ind w:firstLine="0"/>
      <w:jc w:val="center"/>
    </w:pPr>
  </w:style>
  <w:style w:type="paragraph" w:styleId="Cabealho">
    <w:name w:val="header"/>
    <w:basedOn w:val="Normal"/>
    <w:link w:val="CabealhoChar"/>
    <w:uiPriority w:val="99"/>
    <w:unhideWhenUsed/>
    <w:rsid w:val="00B144DB"/>
    <w:pPr>
      <w:tabs>
        <w:tab w:val="center" w:pos="4252"/>
        <w:tab w:val="right" w:pos="8504"/>
      </w:tabs>
    </w:pPr>
  </w:style>
  <w:style w:type="character" w:customStyle="1" w:styleId="CabealhoChar">
    <w:name w:val="Cabeçalho Char"/>
    <w:link w:val="Cabealho"/>
    <w:uiPriority w:val="99"/>
    <w:rsid w:val="00B144DB"/>
    <w:rPr>
      <w:sz w:val="22"/>
      <w:szCs w:val="22"/>
      <w:lang w:eastAsia="en-US"/>
    </w:rPr>
  </w:style>
  <w:style w:type="paragraph" w:styleId="Rodap">
    <w:name w:val="footer"/>
    <w:basedOn w:val="Normal"/>
    <w:link w:val="RodapChar"/>
    <w:uiPriority w:val="99"/>
    <w:unhideWhenUsed/>
    <w:rsid w:val="00B144DB"/>
    <w:pPr>
      <w:tabs>
        <w:tab w:val="center" w:pos="4252"/>
        <w:tab w:val="right" w:pos="8504"/>
      </w:tabs>
    </w:pPr>
  </w:style>
  <w:style w:type="character" w:customStyle="1" w:styleId="RodapChar">
    <w:name w:val="Rodapé Char"/>
    <w:link w:val="Rodap"/>
    <w:uiPriority w:val="99"/>
    <w:rsid w:val="00B144DB"/>
    <w:rPr>
      <w:sz w:val="22"/>
      <w:szCs w:val="22"/>
      <w:lang w:eastAsia="en-US"/>
    </w:rPr>
  </w:style>
  <w:style w:type="paragraph" w:customStyle="1" w:styleId="Pargrafobsico">
    <w:name w:val="[Parágrafo básico]"/>
    <w:basedOn w:val="Semestilodepargrafo"/>
    <w:uiPriority w:val="99"/>
    <w:rsid w:val="00B144DB"/>
  </w:style>
  <w:style w:type="paragraph" w:customStyle="1" w:styleId="RODAP0">
    <w:name w:val="RODAPÉ"/>
    <w:basedOn w:val="Pargrafobsico"/>
    <w:qFormat/>
    <w:rsid w:val="00F80C3B"/>
    <w:pPr>
      <w:tabs>
        <w:tab w:val="right" w:leader="dot" w:pos="7591"/>
      </w:tabs>
      <w:suppressAutoHyphens/>
      <w:spacing w:line="240" w:lineRule="auto"/>
      <w:jc w:val="both"/>
    </w:pPr>
    <w:rPr>
      <w:rFonts w:ascii="Times New Roman" w:hAnsi="Times New Roman" w:cs="Times New Roman"/>
      <w:color w:val="000000" w:themeColor="text1"/>
      <w:sz w:val="18"/>
      <w:szCs w:val="18"/>
    </w:rPr>
  </w:style>
  <w:style w:type="paragraph" w:customStyle="1" w:styleId="CABEALHOAUTORARTIGO">
    <w:name w:val="CABEÇALHO/AUTOR/ARTIGO"/>
    <w:basedOn w:val="RODAP0"/>
    <w:qFormat/>
    <w:rsid w:val="005F238F"/>
    <w:pPr>
      <w:tabs>
        <w:tab w:val="clear" w:pos="7591"/>
        <w:tab w:val="right" w:leader="dot" w:pos="7938"/>
      </w:tabs>
    </w:pPr>
  </w:style>
  <w:style w:type="character" w:styleId="MenoPendente">
    <w:name w:val="Unresolved Mention"/>
    <w:basedOn w:val="Fontepargpadro"/>
    <w:uiPriority w:val="99"/>
    <w:semiHidden/>
    <w:unhideWhenUsed/>
    <w:rsid w:val="00543704"/>
    <w:rPr>
      <w:color w:val="605E5C"/>
      <w:shd w:val="clear" w:color="auto" w:fill="E1DFDD"/>
    </w:rPr>
  </w:style>
  <w:style w:type="paragraph" w:styleId="PargrafodaLista">
    <w:name w:val="List Paragraph"/>
    <w:basedOn w:val="Normal"/>
    <w:uiPriority w:val="34"/>
    <w:qFormat/>
    <w:rsid w:val="00FD7077"/>
    <w:pPr>
      <w:ind w:left="720"/>
      <w:contextualSpacing/>
    </w:pPr>
    <w:rPr>
      <w:rFonts w:asciiTheme="minorHAnsi" w:eastAsiaTheme="minorHAnsi" w:hAnsiTheme="minorHAnsi" w:cstheme="minorBidi"/>
    </w:rPr>
  </w:style>
  <w:style w:type="character" w:customStyle="1" w:styleId="Ttulo4Char">
    <w:name w:val="Título 4 Char"/>
    <w:basedOn w:val="Fontepargpadro"/>
    <w:link w:val="Ttulo4"/>
    <w:uiPriority w:val="9"/>
    <w:rsid w:val="006960C2"/>
    <w:rPr>
      <w:rFonts w:ascii="Times New Roman" w:eastAsia="Times New Roman" w:hAnsi="Times New Roman"/>
      <w:b/>
      <w:bCs/>
      <w:sz w:val="24"/>
      <w:szCs w:val="24"/>
    </w:rPr>
  </w:style>
  <w:style w:type="paragraph" w:styleId="Textodebalo">
    <w:name w:val="Balloon Text"/>
    <w:basedOn w:val="Normal"/>
    <w:link w:val="TextodebaloChar"/>
    <w:uiPriority w:val="99"/>
    <w:semiHidden/>
    <w:unhideWhenUsed/>
    <w:rsid w:val="003400AE"/>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3400AE"/>
    <w:rPr>
      <w:rFonts w:ascii="Segoe UI" w:hAnsi="Segoe UI" w:cs="Segoe UI"/>
      <w:sz w:val="18"/>
      <w:szCs w:val="18"/>
      <w:lang w:eastAsia="en-US"/>
    </w:rPr>
  </w:style>
  <w:style w:type="paragraph" w:styleId="Textodenotaderodap">
    <w:name w:val="footnote text"/>
    <w:basedOn w:val="Normal"/>
    <w:link w:val="TextodenotaderodapChar"/>
    <w:uiPriority w:val="9"/>
    <w:unhideWhenUsed/>
    <w:rsid w:val="009E0AE7"/>
    <w:pPr>
      <w:spacing w:after="0" w:line="240" w:lineRule="auto"/>
    </w:pPr>
    <w:rPr>
      <w:sz w:val="20"/>
      <w:szCs w:val="20"/>
    </w:rPr>
  </w:style>
  <w:style w:type="character" w:customStyle="1" w:styleId="TextodenotaderodapChar">
    <w:name w:val="Texto de nota de rodapé Char"/>
    <w:basedOn w:val="Fontepargpadro"/>
    <w:link w:val="Textodenotaderodap"/>
    <w:rsid w:val="009E0AE7"/>
    <w:rPr>
      <w:lang w:eastAsia="en-US"/>
    </w:rPr>
  </w:style>
  <w:style w:type="paragraph" w:styleId="Corpodetexto">
    <w:name w:val="Body Text"/>
    <w:basedOn w:val="CORPO"/>
    <w:link w:val="CorpodetextoChar"/>
    <w:qFormat/>
    <w:rsid w:val="001E7D36"/>
    <w:pPr>
      <w:spacing w:before="60" w:after="60" w:line="240" w:lineRule="auto"/>
    </w:pPr>
    <w:rPr>
      <w:rFonts w:ascii="Times New Roman" w:hAnsi="Times New Roman"/>
    </w:rPr>
  </w:style>
  <w:style w:type="character" w:customStyle="1" w:styleId="CorpodetextoChar">
    <w:name w:val="Corpo de texto Char"/>
    <w:basedOn w:val="Fontepargpadro"/>
    <w:link w:val="Corpodetexto"/>
    <w:rsid w:val="001E7D36"/>
    <w:rPr>
      <w:rFonts w:ascii="Times New Roman" w:hAnsi="Times New Roman" w:cs="Baramond"/>
      <w:color w:val="000000"/>
      <w:sz w:val="22"/>
      <w:szCs w:val="22"/>
    </w:rPr>
  </w:style>
  <w:style w:type="character" w:customStyle="1" w:styleId="CORPOChar">
    <w:name w:val="CORPO Char"/>
    <w:basedOn w:val="Fontepargpadro"/>
    <w:link w:val="CORPO"/>
    <w:uiPriority w:val="99"/>
    <w:rsid w:val="005A03BB"/>
    <w:rPr>
      <w:rFonts w:ascii="Baramond" w:hAnsi="Baramond" w:cs="Baramond"/>
      <w:color w:val="000000"/>
      <w:sz w:val="22"/>
      <w:szCs w:val="22"/>
    </w:rPr>
  </w:style>
  <w:style w:type="paragraph" w:customStyle="1" w:styleId="Tabela">
    <w:name w:val="Tabela"/>
    <w:basedOn w:val="CORPO"/>
    <w:link w:val="TabelaChar"/>
    <w:qFormat/>
    <w:rsid w:val="009D5DD0"/>
    <w:pPr>
      <w:spacing w:after="60"/>
      <w:ind w:firstLine="0"/>
      <w:jc w:val="center"/>
    </w:pPr>
    <w:rPr>
      <w:rFonts w:ascii="Times New Roman" w:hAnsi="Times New Roman"/>
      <w:b/>
      <w:bCs/>
    </w:rPr>
  </w:style>
  <w:style w:type="character" w:customStyle="1" w:styleId="TabelaChar">
    <w:name w:val="Tabela Char"/>
    <w:basedOn w:val="CORPOChar"/>
    <w:link w:val="Tabela"/>
    <w:rsid w:val="009D5DD0"/>
    <w:rPr>
      <w:rFonts w:ascii="Times New Roman" w:hAnsi="Times New Roman" w:cs="Baramond"/>
      <w:b/>
      <w:bCs/>
      <w:color w:val="000000"/>
      <w:sz w:val="22"/>
      <w:szCs w:val="22"/>
    </w:rPr>
  </w:style>
  <w:style w:type="paragraph" w:customStyle="1" w:styleId="Grfico">
    <w:name w:val="Gráfico"/>
    <w:basedOn w:val="Tabela"/>
    <w:link w:val="GrficoChar"/>
    <w:qFormat/>
    <w:rsid w:val="005E09CC"/>
  </w:style>
  <w:style w:type="character" w:customStyle="1" w:styleId="GrficoChar">
    <w:name w:val="Gráfico Char"/>
    <w:basedOn w:val="TabelaChar"/>
    <w:link w:val="Grfico"/>
    <w:rsid w:val="005E09CC"/>
    <w:rPr>
      <w:rFonts w:ascii="Times New Roman" w:hAnsi="Times New Roman" w:cs="Baramond"/>
      <w:b/>
      <w:bCs/>
      <w:color w:val="000000"/>
      <w:sz w:val="22"/>
      <w:szCs w:val="22"/>
    </w:rPr>
  </w:style>
  <w:style w:type="character" w:customStyle="1" w:styleId="Ttulo1Char">
    <w:name w:val="Título 1 Char"/>
    <w:basedOn w:val="Fontepargpadro"/>
    <w:link w:val="Ttulo1"/>
    <w:uiPriority w:val="9"/>
    <w:rsid w:val="00C77A54"/>
    <w:rPr>
      <w:rFonts w:asciiTheme="majorHAnsi" w:eastAsiaTheme="majorEastAsia" w:hAnsiTheme="majorHAnsi" w:cstheme="majorBidi"/>
      <w:color w:val="2F5496" w:themeColor="accent1" w:themeShade="BF"/>
      <w:sz w:val="32"/>
      <w:szCs w:val="32"/>
      <w:lang w:eastAsia="en-US"/>
    </w:rPr>
  </w:style>
  <w:style w:type="character" w:customStyle="1" w:styleId="Ttulo2Char">
    <w:name w:val="Título 2 Char"/>
    <w:basedOn w:val="Fontepargpadro"/>
    <w:link w:val="Ttulo2"/>
    <w:uiPriority w:val="9"/>
    <w:semiHidden/>
    <w:rsid w:val="00C77A54"/>
    <w:rPr>
      <w:rFonts w:asciiTheme="majorHAnsi" w:eastAsiaTheme="majorEastAsia" w:hAnsiTheme="majorHAnsi" w:cstheme="majorBidi"/>
      <w:color w:val="2F5496" w:themeColor="accent1" w:themeShade="BF"/>
      <w:sz w:val="26"/>
      <w:szCs w:val="26"/>
      <w:lang w:eastAsia="en-US"/>
    </w:rPr>
  </w:style>
  <w:style w:type="character" w:customStyle="1" w:styleId="Ttulo3Char">
    <w:name w:val="Título 3 Char"/>
    <w:basedOn w:val="Fontepargpadro"/>
    <w:link w:val="Ttulo3"/>
    <w:uiPriority w:val="9"/>
    <w:semiHidden/>
    <w:rsid w:val="00C77A54"/>
    <w:rPr>
      <w:rFonts w:asciiTheme="majorHAnsi" w:eastAsiaTheme="majorEastAsia" w:hAnsiTheme="majorHAnsi" w:cstheme="majorBidi"/>
      <w:color w:val="1F3763" w:themeColor="accent1" w:themeShade="7F"/>
      <w:sz w:val="24"/>
      <w:szCs w:val="24"/>
      <w:lang w:eastAsia="en-US"/>
    </w:rPr>
  </w:style>
  <w:style w:type="paragraph" w:customStyle="1" w:styleId="CaptionedFigure">
    <w:name w:val="Captioned Figure"/>
    <w:basedOn w:val="Normal"/>
    <w:rsid w:val="00B12A0A"/>
    <w:pPr>
      <w:keepNext/>
      <w:spacing w:after="0" w:line="240" w:lineRule="auto"/>
    </w:pPr>
    <w:rPr>
      <w:rFonts w:ascii="Times New Roman" w:eastAsia="Times New Roman" w:hAnsi="Times New Roman"/>
      <w:sz w:val="24"/>
      <w:szCs w:val="24"/>
      <w:lang w:eastAsia="pt-BR"/>
    </w:rPr>
  </w:style>
  <w:style w:type="character" w:styleId="Refdecomentrio">
    <w:name w:val="annotation reference"/>
    <w:basedOn w:val="Fontepargpadro"/>
    <w:semiHidden/>
    <w:unhideWhenUsed/>
    <w:rsid w:val="0010650D"/>
    <w:rPr>
      <w:sz w:val="16"/>
      <w:szCs w:val="16"/>
    </w:rPr>
  </w:style>
  <w:style w:type="table" w:styleId="Tabelacomgrade">
    <w:name w:val="Table Grid"/>
    <w:basedOn w:val="Tabelanormal"/>
    <w:rsid w:val="008A1E93"/>
    <w:rPr>
      <w:rFonts w:asciiTheme="minorHAnsi" w:eastAsiaTheme="minorHAnsi" w:hAnsiTheme="minorHAnsi" w:cstheme="minorBid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oEspaoReservado">
    <w:name w:val="Placeholder Text"/>
    <w:basedOn w:val="Fontepargpadro"/>
    <w:uiPriority w:val="99"/>
    <w:semiHidden/>
    <w:rsid w:val="00A60FE0"/>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79779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18" Type="http://schemas.openxmlformats.org/officeDocument/2006/relationships/image" Target="media/image8.emf"/><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image" Target="media/image11.emf"/><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image" Target="media/image7.emf"/><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6.emf"/><Relationship Id="rId20" Type="http://schemas.openxmlformats.org/officeDocument/2006/relationships/image" Target="media/image10.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5.emf"/><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9.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emf"/><Relationship Id="rId22" Type="http://schemas.openxmlformats.org/officeDocument/2006/relationships/header" Target="header1.xml"/><Relationship Id="rId27" Type="http://schemas.openxmlformats.org/officeDocument/2006/relationships/footer" Target="footer3.xml"/></Relationships>
</file>

<file path=word/_rels/footnotes.xml.rels><?xml version="1.0" encoding="UTF-8" standalone="yes"?>
<Relationships xmlns="http://schemas.openxmlformats.org/package/2006/relationships"><Relationship Id="rId3" Type="http://schemas.openxmlformats.org/officeDocument/2006/relationships/hyperlink" Target="mailto:joao.oliveira@ipea.gv.br" TargetMode="External"/><Relationship Id="rId2" Type="http://schemas.openxmlformats.org/officeDocument/2006/relationships/hyperlink" Target="mailto:milene@unb.br" TargetMode="External"/><Relationship Id="rId1" Type="http://schemas.openxmlformats.org/officeDocument/2006/relationships/hyperlink" Target="mailto:vnery5@gmail.com"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D7AA51BC2B10BE4D9A0A69DCC7E974AF" ma:contentTypeVersion="10" ma:contentTypeDescription="Crie um novo documento." ma:contentTypeScope="" ma:versionID="defa4a7e8b9b3d473df42f0adc0d6fbf">
  <xsd:schema xmlns:xsd="http://www.w3.org/2001/XMLSchema" xmlns:xs="http://www.w3.org/2001/XMLSchema" xmlns:p="http://schemas.microsoft.com/office/2006/metadata/properties" xmlns:ns2="bbac4e74-f079-4ed7-8cae-fa02dca79cec" xmlns:ns3="e56882dc-2c5a-4148-aeb4-301a0411a783" targetNamespace="http://schemas.microsoft.com/office/2006/metadata/properties" ma:root="true" ma:fieldsID="31058584221be474acbba7939a2b86e7" ns2:_="" ns3:_="">
    <xsd:import namespace="bbac4e74-f079-4ed7-8cae-fa02dca79cec"/>
    <xsd:import namespace="e56882dc-2c5a-4148-aeb4-301a0411a78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ac4e74-f079-4ed7-8cae-fa02dca79c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56882dc-2c5a-4148-aeb4-301a0411a783" elementFormDefault="qualified">
    <xsd:import namespace="http://schemas.microsoft.com/office/2006/documentManagement/types"/>
    <xsd:import namespace="http://schemas.microsoft.com/office/infopath/2007/PartnerControls"/>
    <xsd:element name="SharedWithUsers" ma:index="16"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8F76D4B-A90F-4BAC-9AF5-D5D312172D58}">
  <ds:schemaRefs>
    <ds:schemaRef ds:uri="http://schemas.openxmlformats.org/officeDocument/2006/bibliography"/>
  </ds:schemaRefs>
</ds:datastoreItem>
</file>

<file path=customXml/itemProps2.xml><?xml version="1.0" encoding="utf-8"?>
<ds:datastoreItem xmlns:ds="http://schemas.openxmlformats.org/officeDocument/2006/customXml" ds:itemID="{0BAAA04B-144A-4A5D-B820-F88068D3C68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7354E49-D784-4E8D-8D12-841AF684BD8A}">
  <ds:schemaRefs>
    <ds:schemaRef ds:uri="http://schemas.microsoft.com/sharepoint/v3/contenttype/forms"/>
  </ds:schemaRefs>
</ds:datastoreItem>
</file>

<file path=customXml/itemProps4.xml><?xml version="1.0" encoding="utf-8"?>
<ds:datastoreItem xmlns:ds="http://schemas.openxmlformats.org/officeDocument/2006/customXml" ds:itemID="{4B48BFB5-3E50-4D56-9A96-A7A18EB35A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ac4e74-f079-4ed7-8cae-fa02dca79cec"/>
    <ds:schemaRef ds:uri="e56882dc-2c5a-4148-aeb4-301a0411a7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345</TotalTime>
  <Pages>32</Pages>
  <Words>24352</Words>
  <Characters>131503</Characters>
  <Application>Microsoft Office Word</Application>
  <DocSecurity>0</DocSecurity>
  <Lines>1095</Lines>
  <Paragraphs>311</Paragraphs>
  <ScaleCrop>false</ScaleCrop>
  <HeadingPairs>
    <vt:vector size="2" baseType="variant">
      <vt:variant>
        <vt:lpstr>Título</vt:lpstr>
      </vt:variant>
      <vt:variant>
        <vt:i4>1</vt:i4>
      </vt:variant>
    </vt:vector>
  </HeadingPairs>
  <TitlesOfParts>
    <vt:vector size="1" baseType="lpstr">
      <vt:lpstr/>
    </vt:vector>
  </TitlesOfParts>
  <Company>Universidade Federal de Uberlândia</Company>
  <LinksUpToDate>false</LinksUpToDate>
  <CharactersWithSpaces>155544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Luti Hack Solazzi</cp:lastModifiedBy>
  <cp:revision>285</cp:revision>
  <cp:lastPrinted>2019-11-29T13:07:00Z</cp:lastPrinted>
  <dcterms:created xsi:type="dcterms:W3CDTF">2024-10-03T12:23:00Z</dcterms:created>
  <dcterms:modified xsi:type="dcterms:W3CDTF">2024-12-19T19:39:00Z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0x010100D7AA51BC2B10BE4D9A0A69DCC7E974AF</vt:lpwstr>
  </property>
</Properties>
</file>